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7A66" w14:textId="77777777" w:rsidR="00007E9E" w:rsidRPr="00F404BE" w:rsidRDefault="00DC7843" w:rsidP="00E36A9C">
      <w:pPr>
        <w:pStyle w:val="NormalWeb2"/>
        <w:spacing w:before="120" w:after="120" w:line="240" w:lineRule="auto"/>
        <w:ind w:left="0" w:right="0"/>
        <w:jc w:val="both"/>
        <w:rPr>
          <w:rFonts w:ascii="Tahoma" w:hAnsi="Tahoma" w:cs="Tahoma"/>
          <w:b/>
          <w:color w:val="auto"/>
          <w:sz w:val="22"/>
          <w:szCs w:val="22"/>
          <w:lang w:val="ro-RO"/>
        </w:rPr>
      </w:pPr>
      <w:r>
        <w:rPr>
          <w:rFonts w:ascii="Tahoma" w:hAnsi="Tahoma" w:cs="Tahoma"/>
          <w:b/>
          <w:color w:val="auto"/>
          <w:sz w:val="22"/>
          <w:szCs w:val="22"/>
          <w:lang w:val="ro-RO"/>
        </w:rPr>
        <w:t>Anexa</w:t>
      </w:r>
      <w:r w:rsidR="004E78A5">
        <w:rPr>
          <w:rFonts w:ascii="Tahoma" w:hAnsi="Tahoma" w:cs="Tahoma"/>
          <w:b/>
          <w:color w:val="auto"/>
          <w:sz w:val="22"/>
          <w:szCs w:val="22"/>
          <w:lang w:val="ro-RO"/>
        </w:rPr>
        <w:t xml:space="preserve"> nr.</w:t>
      </w:r>
      <w:r>
        <w:rPr>
          <w:rFonts w:ascii="Tahoma" w:hAnsi="Tahoma" w:cs="Tahoma"/>
          <w:b/>
          <w:color w:val="auto"/>
          <w:sz w:val="22"/>
          <w:szCs w:val="22"/>
          <w:lang w:val="ro-RO"/>
        </w:rPr>
        <w:t xml:space="preserve"> </w:t>
      </w:r>
      <w:r w:rsidR="00920A93">
        <w:rPr>
          <w:rFonts w:ascii="Tahoma" w:hAnsi="Tahoma" w:cs="Tahoma"/>
          <w:b/>
          <w:color w:val="auto"/>
          <w:sz w:val="22"/>
          <w:szCs w:val="22"/>
          <w:lang w:val="ro-RO"/>
        </w:rPr>
        <w:t>I.</w:t>
      </w:r>
      <w:r>
        <w:rPr>
          <w:rFonts w:ascii="Tahoma" w:hAnsi="Tahoma" w:cs="Tahoma"/>
          <w:b/>
          <w:color w:val="auto"/>
          <w:sz w:val="22"/>
          <w:szCs w:val="22"/>
          <w:lang w:val="ro-RO"/>
        </w:rPr>
        <w:t>3</w:t>
      </w:r>
      <w:r w:rsidR="00920A93">
        <w:rPr>
          <w:rFonts w:ascii="Tahoma" w:hAnsi="Tahoma" w:cs="Tahoma"/>
          <w:b/>
          <w:color w:val="auto"/>
          <w:sz w:val="22"/>
          <w:szCs w:val="22"/>
          <w:lang w:val="ro-RO"/>
        </w:rPr>
        <w:t>.</w:t>
      </w:r>
      <w:r w:rsidR="00782607" w:rsidRPr="00F404BE">
        <w:rPr>
          <w:rFonts w:ascii="Tahoma" w:hAnsi="Tahoma" w:cs="Tahoma"/>
          <w:b/>
          <w:color w:val="auto"/>
          <w:sz w:val="22"/>
          <w:szCs w:val="22"/>
          <w:lang w:val="ro-RO"/>
        </w:rPr>
        <w:t>a</w:t>
      </w:r>
    </w:p>
    <w:p w14:paraId="5AE6769E" w14:textId="77777777" w:rsidR="0055431C" w:rsidRDefault="0055431C" w:rsidP="00DC7843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bookmarkStart w:id="0" w:name="do|ax3|pa1"/>
      <w:bookmarkEnd w:id="0"/>
    </w:p>
    <w:p w14:paraId="566163E3" w14:textId="77777777" w:rsidR="0055431C" w:rsidRDefault="0055431C" w:rsidP="00DC7843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</w:p>
    <w:p w14:paraId="7141E928" w14:textId="77777777" w:rsidR="0055431C" w:rsidRDefault="0055431C" w:rsidP="00DC7843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</w:p>
    <w:p w14:paraId="089AA0BD" w14:textId="77777777" w:rsidR="00DC7843" w:rsidRDefault="00DC7843" w:rsidP="00DC7843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r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>Nr. .......... din ..........</w:t>
      </w:r>
    </w:p>
    <w:p w14:paraId="2F153A38" w14:textId="77777777" w:rsidR="00DC7843" w:rsidRPr="00DC7843" w:rsidRDefault="00DC7843" w:rsidP="00DC7843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</w:p>
    <w:p w14:paraId="5C673BBA" w14:textId="77777777" w:rsidR="00DC7843" w:rsidRDefault="00DC7843" w:rsidP="00DC7843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bookmarkStart w:id="1" w:name="do|ax3|pa2"/>
      <w:bookmarkEnd w:id="1"/>
      <w:r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>Către</w:t>
      </w:r>
      <w:r>
        <w:rPr>
          <w:rFonts w:ascii="Tahoma" w:eastAsia="Times New Roman" w:hAnsi="Tahoma" w:cs="Tahoma"/>
          <w:sz w:val="22"/>
          <w:szCs w:val="22"/>
          <w:lang w:val="ro-RO" w:eastAsia="ro-RO"/>
        </w:rPr>
        <w:t>,</w:t>
      </w:r>
    </w:p>
    <w:p w14:paraId="7F6B300C" w14:textId="77777777" w:rsidR="00DC7843" w:rsidRDefault="00DC7843" w:rsidP="00DC7843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r>
        <w:rPr>
          <w:rFonts w:ascii="Tahoma" w:eastAsia="Times New Roman" w:hAnsi="Tahoma" w:cs="Tahoma"/>
          <w:sz w:val="22"/>
          <w:szCs w:val="22"/>
          <w:lang w:val="ro-RO" w:eastAsia="ro-RO"/>
        </w:rPr>
        <w:t>Autoritatea Națională pentru Administrare și Reglementare în Comunicații</w:t>
      </w:r>
    </w:p>
    <w:p w14:paraId="4E1F48A0" w14:textId="77777777" w:rsidR="00DC7843" w:rsidRPr="004E78A5" w:rsidRDefault="00493D6B" w:rsidP="00DC7843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r>
        <w:rPr>
          <w:rFonts w:ascii="Tahoma" w:eastAsia="Times New Roman" w:hAnsi="Tahoma" w:cs="Tahoma"/>
          <w:sz w:val="22"/>
          <w:szCs w:val="22"/>
          <w:lang w:val="ro-RO" w:eastAsia="ro-RO"/>
        </w:rPr>
        <w:t>cu sediul în……………………………</w:t>
      </w:r>
    </w:p>
    <w:p w14:paraId="2131FD2A" w14:textId="77777777" w:rsidR="00DC7843" w:rsidRPr="00DC7843" w:rsidRDefault="00DC7843" w:rsidP="00DC7843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</w:p>
    <w:p w14:paraId="15CA0256" w14:textId="77777777" w:rsidR="0055431C" w:rsidRDefault="0055431C" w:rsidP="00DC7843">
      <w:pPr>
        <w:shd w:val="clear" w:color="auto" w:fill="FFFFFF"/>
        <w:spacing w:before="0" w:after="0" w:line="240" w:lineRule="auto"/>
        <w:jc w:val="center"/>
        <w:rPr>
          <w:rFonts w:ascii="Tahoma" w:eastAsia="Times New Roman" w:hAnsi="Tahoma" w:cs="Tahoma"/>
          <w:b/>
          <w:sz w:val="22"/>
          <w:szCs w:val="22"/>
          <w:lang w:val="ro-RO" w:eastAsia="ro-RO"/>
        </w:rPr>
      </w:pPr>
      <w:bookmarkStart w:id="2" w:name="do|ax3|pa3"/>
      <w:bookmarkEnd w:id="2"/>
    </w:p>
    <w:p w14:paraId="01C85B10" w14:textId="77777777" w:rsidR="0055431C" w:rsidRDefault="0055431C" w:rsidP="00DC7843">
      <w:pPr>
        <w:shd w:val="clear" w:color="auto" w:fill="FFFFFF"/>
        <w:spacing w:before="0" w:after="0" w:line="240" w:lineRule="auto"/>
        <w:jc w:val="center"/>
        <w:rPr>
          <w:rFonts w:ascii="Tahoma" w:eastAsia="Times New Roman" w:hAnsi="Tahoma" w:cs="Tahoma"/>
          <w:b/>
          <w:sz w:val="22"/>
          <w:szCs w:val="22"/>
          <w:lang w:val="ro-RO" w:eastAsia="ro-RO"/>
        </w:rPr>
      </w:pPr>
    </w:p>
    <w:p w14:paraId="7E5A22AA" w14:textId="77777777" w:rsidR="00DC7843" w:rsidRDefault="00DC7843" w:rsidP="00DC7843">
      <w:pPr>
        <w:shd w:val="clear" w:color="auto" w:fill="FFFFFF"/>
        <w:spacing w:before="0" w:after="0" w:line="240" w:lineRule="auto"/>
        <w:jc w:val="center"/>
        <w:rPr>
          <w:rFonts w:ascii="Tahoma" w:eastAsia="Times New Roman" w:hAnsi="Tahoma" w:cs="Tahoma"/>
          <w:b/>
          <w:sz w:val="22"/>
          <w:szCs w:val="22"/>
          <w:lang w:val="ro-RO" w:eastAsia="ro-RO"/>
        </w:rPr>
      </w:pPr>
      <w:r w:rsidRPr="00DC7843">
        <w:rPr>
          <w:rFonts w:ascii="Tahoma" w:eastAsia="Times New Roman" w:hAnsi="Tahoma" w:cs="Tahoma"/>
          <w:b/>
          <w:sz w:val="22"/>
          <w:szCs w:val="22"/>
          <w:lang w:val="ro-RO" w:eastAsia="ro-RO"/>
        </w:rPr>
        <w:t xml:space="preserve">CERERE DE RESTITUIRE A CREANȚELOR </w:t>
      </w:r>
      <w:r w:rsidR="00CB03DD">
        <w:rPr>
          <w:rFonts w:ascii="Tahoma" w:eastAsia="Times New Roman" w:hAnsi="Tahoma" w:cs="Tahoma"/>
          <w:b/>
          <w:sz w:val="22"/>
          <w:szCs w:val="22"/>
          <w:lang w:val="ro-RO" w:eastAsia="ro-RO"/>
        </w:rPr>
        <w:t xml:space="preserve">ÎNCASATE ÎN PLUS LA BUGETUL </w:t>
      </w:r>
      <w:r w:rsidR="00CB03DD" w:rsidRPr="00FC4C27">
        <w:rPr>
          <w:rFonts w:ascii="Tahoma" w:hAnsi="Tahoma" w:cs="Tahoma"/>
          <w:b/>
          <w:sz w:val="22"/>
          <w:szCs w:val="22"/>
          <w:lang w:val="ro-RO"/>
        </w:rPr>
        <w:t>AUTORITĂȚII NAȚIONALE PENTRU ADMINISTRARE ȘI REGLEMENTARE ÎN COMUNICAȚII</w:t>
      </w:r>
    </w:p>
    <w:p w14:paraId="62F0DA41" w14:textId="77777777" w:rsidR="004E78A5" w:rsidRDefault="004E78A5" w:rsidP="00DC7843">
      <w:pPr>
        <w:shd w:val="clear" w:color="auto" w:fill="FFFFFF"/>
        <w:spacing w:before="0" w:after="0" w:line="240" w:lineRule="auto"/>
        <w:jc w:val="center"/>
        <w:rPr>
          <w:rFonts w:ascii="Tahoma" w:eastAsia="Times New Roman" w:hAnsi="Tahoma" w:cs="Tahoma"/>
          <w:b/>
          <w:sz w:val="22"/>
          <w:szCs w:val="22"/>
          <w:lang w:val="ro-RO" w:eastAsia="ro-RO"/>
        </w:rPr>
      </w:pPr>
    </w:p>
    <w:p w14:paraId="4CF1E22E" w14:textId="77777777" w:rsidR="004E78A5" w:rsidRDefault="004E78A5" w:rsidP="00DC7843">
      <w:pPr>
        <w:shd w:val="clear" w:color="auto" w:fill="FFFFFF"/>
        <w:spacing w:before="0" w:after="0" w:line="240" w:lineRule="auto"/>
        <w:jc w:val="center"/>
        <w:rPr>
          <w:rFonts w:ascii="Tahoma" w:eastAsia="Times New Roman" w:hAnsi="Tahoma" w:cs="Tahoma"/>
          <w:b/>
          <w:sz w:val="22"/>
          <w:szCs w:val="22"/>
          <w:lang w:val="ro-RO" w:eastAsia="ro-RO"/>
        </w:rPr>
      </w:pPr>
    </w:p>
    <w:p w14:paraId="767ECE22" w14:textId="77777777" w:rsidR="004E78A5" w:rsidRPr="00DC7843" w:rsidRDefault="004E78A5" w:rsidP="00DC7843">
      <w:pPr>
        <w:shd w:val="clear" w:color="auto" w:fill="FFFFFF"/>
        <w:spacing w:before="0" w:after="0" w:line="240" w:lineRule="auto"/>
        <w:jc w:val="center"/>
        <w:rPr>
          <w:rFonts w:ascii="Tahoma" w:eastAsia="Times New Roman" w:hAnsi="Tahoma" w:cs="Tahoma"/>
          <w:b/>
          <w:sz w:val="22"/>
          <w:szCs w:val="22"/>
          <w:lang w:val="ro-RO" w:eastAsia="ro-RO"/>
        </w:rPr>
      </w:pPr>
    </w:p>
    <w:p w14:paraId="79B6DCDE" w14:textId="77777777" w:rsidR="00DC7843" w:rsidRPr="00DC7843" w:rsidRDefault="00DC7843" w:rsidP="00DC7843">
      <w:pPr>
        <w:shd w:val="clear" w:color="auto" w:fill="FFFFFF"/>
        <w:spacing w:before="0" w:after="0" w:line="240" w:lineRule="auto"/>
        <w:jc w:val="center"/>
        <w:rPr>
          <w:rFonts w:ascii="Tahoma" w:eastAsia="Times New Roman" w:hAnsi="Tahoma" w:cs="Tahoma"/>
          <w:sz w:val="22"/>
          <w:szCs w:val="22"/>
          <w:lang w:val="ro-RO" w:eastAsia="ro-RO"/>
        </w:rPr>
      </w:pPr>
    </w:p>
    <w:p w14:paraId="77442DDA" w14:textId="77777777" w:rsidR="00DC7843" w:rsidRPr="00DC7843" w:rsidRDefault="00DC7843" w:rsidP="00006417">
      <w:pPr>
        <w:shd w:val="clear" w:color="auto" w:fill="FFFFFF"/>
        <w:spacing w:before="0" w:after="0" w:line="240" w:lineRule="auto"/>
        <w:ind w:firstLine="720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bookmarkStart w:id="3" w:name="do|ax3|pa4"/>
      <w:bookmarkEnd w:id="3"/>
      <w:r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>Subsemnatul/Subscrisa</w:t>
      </w:r>
      <w:r>
        <w:rPr>
          <w:rFonts w:ascii="Tahoma" w:eastAsia="Times New Roman" w:hAnsi="Tahoma" w:cs="Tahoma"/>
          <w:sz w:val="22"/>
          <w:szCs w:val="22"/>
          <w:vertAlign w:val="superscript"/>
          <w:lang w:val="ro-RO" w:eastAsia="ro-RO"/>
        </w:rPr>
        <w:t>1</w:t>
      </w:r>
      <w:r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.......... , cu domiciliul/sediul în localitatea...................., str. .............. nr. ...., bl. ..., sc. ..., ap. ..., judeţul/sectorul....., având </w:t>
      </w:r>
      <w:r w:rsidR="004E78A5">
        <w:rPr>
          <w:rFonts w:ascii="Tahoma" w:eastAsia="Times New Roman" w:hAnsi="Tahoma" w:cs="Tahoma"/>
          <w:sz w:val="22"/>
          <w:szCs w:val="22"/>
          <w:lang w:val="ro-RO" w:eastAsia="ro-RO"/>
        </w:rPr>
        <w:t>C.N.P/</w:t>
      </w:r>
      <w:r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>C.I.F</w:t>
      </w:r>
      <w:r w:rsidR="004E78A5">
        <w:rPr>
          <w:rFonts w:ascii="Tahoma" w:eastAsia="Times New Roman" w:hAnsi="Tahoma" w:cs="Tahoma"/>
          <w:sz w:val="22"/>
          <w:szCs w:val="22"/>
          <w:lang w:val="ro-RO" w:eastAsia="ro-RO"/>
        </w:rPr>
        <w:t>/ C.U.I</w:t>
      </w:r>
      <w:r>
        <w:rPr>
          <w:rFonts w:ascii="Tahoma" w:eastAsia="Times New Roman" w:hAnsi="Tahoma" w:cs="Tahoma"/>
          <w:sz w:val="22"/>
          <w:szCs w:val="22"/>
          <w:lang w:val="ro-RO" w:eastAsia="ro-RO"/>
        </w:rPr>
        <w:t>.</w:t>
      </w:r>
      <w:r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>........... , solicit</w:t>
      </w:r>
      <w:r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restituirea </w:t>
      </w:r>
      <w:r w:rsidR="004E78A5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următoarelor sume încasate de ANCOM cu </w:t>
      </w:r>
      <w:r w:rsidR="00006417">
        <w:rPr>
          <w:rFonts w:ascii="Tahoma" w:eastAsia="Times New Roman" w:hAnsi="Tahoma" w:cs="Tahoma"/>
          <w:sz w:val="22"/>
          <w:szCs w:val="22"/>
          <w:lang w:val="ro-RO" w:eastAsia="ro-RO"/>
        </w:rPr>
        <w:t>titlu de creanţă fiscală</w:t>
      </w:r>
      <w:r w:rsidR="004E78A5" w:rsidRPr="00E80FF2">
        <w:rPr>
          <w:rFonts w:ascii="Tahoma" w:eastAsia="Times New Roman" w:hAnsi="Tahoma" w:cs="Tahoma"/>
          <w:sz w:val="22"/>
          <w:szCs w:val="22"/>
          <w:lang w:val="ro-RO" w:eastAsia="ro-RO"/>
        </w:rPr>
        <w:t>/</w:t>
      </w:r>
      <w:r w:rsidR="00006417">
        <w:rPr>
          <w:rFonts w:ascii="Tahoma" w:eastAsia="Times New Roman" w:hAnsi="Tahoma" w:cs="Tahoma"/>
          <w:sz w:val="22"/>
          <w:szCs w:val="22"/>
          <w:lang w:val="ro-RO" w:eastAsia="ro-RO"/>
        </w:rPr>
        <w:t>bugetară</w:t>
      </w:r>
      <w:r w:rsidRPr="00E80FF2">
        <w:rPr>
          <w:rFonts w:ascii="Tahoma" w:eastAsia="Times New Roman" w:hAnsi="Tahoma" w:cs="Tahoma"/>
          <w:sz w:val="22"/>
          <w:szCs w:val="22"/>
          <w:lang w:val="ro-RO" w:eastAsia="ro-RO"/>
        </w:rPr>
        <w:t>, după cum</w:t>
      </w:r>
      <w:r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urmează:</w:t>
      </w:r>
    </w:p>
    <w:p w14:paraId="0D9FF21E" w14:textId="77777777" w:rsidR="00B26FF0" w:rsidRPr="00DC7843" w:rsidRDefault="00B26FF0" w:rsidP="00DC7843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bookmarkStart w:id="4" w:name="do|ax3|pa5"/>
      <w:bookmarkStart w:id="5" w:name="do|ax3|pa6"/>
      <w:bookmarkEnd w:id="4"/>
      <w:bookmarkEnd w:id="5"/>
    </w:p>
    <w:p w14:paraId="4C182E5B" w14:textId="77777777" w:rsidR="00DC7843" w:rsidRPr="00E04101" w:rsidRDefault="00DC7843" w:rsidP="00E04101">
      <w:pPr>
        <w:pStyle w:val="ListParagraph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bookmarkStart w:id="6" w:name="do|ax3|pa8"/>
      <w:bookmarkEnd w:id="6"/>
      <w:r w:rsidRPr="00E04101">
        <w:rPr>
          <w:rFonts w:ascii="Tahoma" w:eastAsia="Times New Roman" w:hAnsi="Tahoma" w:cs="Tahoma"/>
          <w:sz w:val="22"/>
          <w:szCs w:val="22"/>
          <w:lang w:val="ro-RO" w:eastAsia="ro-RO"/>
        </w:rPr>
        <w:t>restituirea sumelor de la</w:t>
      </w:r>
      <w:r w:rsidR="00E04101" w:rsidRPr="00E04101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buget</w:t>
      </w:r>
      <w:r w:rsidR="004E78A5">
        <w:rPr>
          <w:rFonts w:ascii="Tahoma" w:eastAsia="Times New Roman" w:hAnsi="Tahoma" w:cs="Tahoma"/>
          <w:sz w:val="22"/>
          <w:szCs w:val="22"/>
          <w:lang w:val="ro-RO" w:eastAsia="ro-RO"/>
        </w:rPr>
        <w:t>ul ANCOM</w:t>
      </w:r>
      <w:r w:rsidR="00E04101" w:rsidRPr="00E04101">
        <w:rPr>
          <w:rFonts w:ascii="Tahoma" w:eastAsia="Times New Roman" w:hAnsi="Tahoma" w:cs="Tahoma"/>
          <w:sz w:val="22"/>
          <w:szCs w:val="22"/>
          <w:lang w:val="ro-RO" w:eastAsia="ro-RO"/>
        </w:rPr>
        <w:t>, reprezentând ..........</w:t>
      </w:r>
      <w:r w:rsidR="00E04101" w:rsidRPr="00E04101">
        <w:rPr>
          <w:rFonts w:ascii="Tahoma" w:eastAsia="Times New Roman" w:hAnsi="Tahoma" w:cs="Tahoma"/>
          <w:sz w:val="22"/>
          <w:szCs w:val="22"/>
          <w:vertAlign w:val="superscript"/>
          <w:lang w:val="ro-RO" w:eastAsia="ro-RO"/>
        </w:rPr>
        <w:t>2</w:t>
      </w:r>
      <w:r w:rsidRPr="00E04101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, în sumă de </w:t>
      </w:r>
      <w:r w:rsidR="00B26FF0" w:rsidRPr="00E04101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.......... lei, în temeiul </w:t>
      </w:r>
      <w:r w:rsidR="00006417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dispozițiilor </w:t>
      </w:r>
      <w:r w:rsidR="00B26FF0" w:rsidRPr="00E04101">
        <w:rPr>
          <w:rFonts w:ascii="Tahoma" w:eastAsia="Times New Roman" w:hAnsi="Tahoma" w:cs="Tahoma"/>
          <w:sz w:val="22"/>
          <w:szCs w:val="22"/>
          <w:lang w:val="ro-RO" w:eastAsia="ro-RO"/>
        </w:rPr>
        <w:t>art.168 din Legea nr.</w:t>
      </w:r>
      <w:hyperlink r:id="rId8" w:history="1">
        <w:r w:rsidRPr="00E04101">
          <w:rPr>
            <w:rFonts w:ascii="Tahoma" w:eastAsia="Times New Roman" w:hAnsi="Tahoma" w:cs="Tahoma"/>
            <w:bCs/>
            <w:sz w:val="22"/>
            <w:szCs w:val="22"/>
            <w:lang w:val="ro-RO" w:eastAsia="ro-RO"/>
          </w:rPr>
          <w:t>207/2015</w:t>
        </w:r>
      </w:hyperlink>
      <w:r w:rsidRPr="00E04101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privind </w:t>
      </w:r>
      <w:hyperlink r:id="rId9" w:history="1">
        <w:r w:rsidRPr="00E04101">
          <w:rPr>
            <w:rFonts w:ascii="Tahoma" w:eastAsia="Times New Roman" w:hAnsi="Tahoma" w:cs="Tahoma"/>
            <w:bCs/>
            <w:sz w:val="22"/>
            <w:szCs w:val="22"/>
            <w:lang w:val="ro-RO" w:eastAsia="ro-RO"/>
          </w:rPr>
          <w:t>Codul de procedură fiscală</w:t>
        </w:r>
      </w:hyperlink>
      <w:r w:rsidRPr="00E04101">
        <w:rPr>
          <w:rFonts w:ascii="Tahoma" w:eastAsia="Times New Roman" w:hAnsi="Tahoma" w:cs="Tahoma"/>
          <w:sz w:val="22"/>
          <w:szCs w:val="22"/>
          <w:lang w:val="ro-RO" w:eastAsia="ro-RO"/>
        </w:rPr>
        <w:t>, cu modificările şi completările ulterioare</w:t>
      </w:r>
      <w:r w:rsidR="004E78A5">
        <w:rPr>
          <w:rFonts w:ascii="Tahoma" w:eastAsia="Times New Roman" w:hAnsi="Tahoma" w:cs="Tahoma"/>
          <w:sz w:val="22"/>
          <w:szCs w:val="22"/>
          <w:lang w:eastAsia="ro-RO"/>
        </w:rPr>
        <w:t>;</w:t>
      </w:r>
    </w:p>
    <w:p w14:paraId="56B74182" w14:textId="77777777" w:rsidR="00DC7843" w:rsidRPr="00E04101" w:rsidRDefault="00DC7843" w:rsidP="00E04101">
      <w:pPr>
        <w:pStyle w:val="ListParagraph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bookmarkStart w:id="7" w:name="do|ax3|pa9"/>
      <w:bookmarkStart w:id="8" w:name="do|ax3|pa11"/>
      <w:bookmarkStart w:id="9" w:name="do|ax3|pa12"/>
      <w:bookmarkEnd w:id="7"/>
      <w:bookmarkEnd w:id="8"/>
      <w:bookmarkEnd w:id="9"/>
      <w:r w:rsidRPr="00E04101">
        <w:rPr>
          <w:rFonts w:ascii="Tahoma" w:eastAsia="Times New Roman" w:hAnsi="Tahoma" w:cs="Tahoma"/>
          <w:sz w:val="22"/>
          <w:szCs w:val="22"/>
          <w:lang w:val="ro-RO" w:eastAsia="ro-RO"/>
        </w:rPr>
        <w:t>acordarea dobânzilor în cazul sumelor de restituit de la buget</w:t>
      </w:r>
      <w:r w:rsidR="00006417">
        <w:rPr>
          <w:rFonts w:ascii="Tahoma" w:eastAsia="Times New Roman" w:hAnsi="Tahoma" w:cs="Tahoma"/>
          <w:sz w:val="22"/>
          <w:szCs w:val="22"/>
          <w:lang w:val="ro-RO" w:eastAsia="ro-RO"/>
        </w:rPr>
        <w:t>ul ANCOM</w:t>
      </w:r>
      <w:r w:rsidRPr="00E04101">
        <w:rPr>
          <w:rFonts w:ascii="Tahoma" w:eastAsia="Times New Roman" w:hAnsi="Tahoma" w:cs="Tahoma"/>
          <w:sz w:val="22"/>
          <w:szCs w:val="22"/>
          <w:lang w:val="ro-RO" w:eastAsia="ro-RO"/>
        </w:rPr>
        <w:t>, în</w:t>
      </w:r>
      <w:r w:rsidR="00E04101" w:rsidRPr="00E04101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temeiul art.</w:t>
      </w:r>
      <w:r w:rsidR="00B26FF0" w:rsidRPr="00E04101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182 din </w:t>
      </w:r>
      <w:hyperlink r:id="rId10" w:history="1">
        <w:r w:rsidR="00006417" w:rsidRPr="00E04101">
          <w:rPr>
            <w:rFonts w:ascii="Tahoma" w:eastAsia="Times New Roman" w:hAnsi="Tahoma" w:cs="Tahoma"/>
            <w:bCs/>
            <w:sz w:val="22"/>
            <w:szCs w:val="22"/>
            <w:lang w:val="ro-RO" w:eastAsia="ro-RO"/>
          </w:rPr>
          <w:t>Codul de procedură fiscală</w:t>
        </w:r>
      </w:hyperlink>
      <w:r w:rsidR="00006417">
        <w:rPr>
          <w:rFonts w:ascii="Tahoma" w:eastAsia="Times New Roman" w:hAnsi="Tahoma" w:cs="Tahoma"/>
          <w:bCs/>
          <w:sz w:val="22"/>
          <w:szCs w:val="22"/>
          <w:lang w:val="ro-RO" w:eastAsia="ro-RO"/>
        </w:rPr>
        <w:t xml:space="preserve">, precum și cele ale </w:t>
      </w:r>
      <w:r w:rsidR="00006417">
        <w:rPr>
          <w:rFonts w:ascii="Tahoma" w:hAnsi="Tahoma" w:cs="Tahoma"/>
          <w:sz w:val="22"/>
          <w:szCs w:val="22"/>
          <w:lang w:val="ro-RO"/>
        </w:rPr>
        <w:t xml:space="preserve">art.2 alin.(1), alin.(2) lit.c) și alin.(5) lit.a), art.3 alin.(1) </w:t>
      </w:r>
      <w:r w:rsidR="00006417" w:rsidRPr="00FC4C27">
        <w:rPr>
          <w:rFonts w:ascii="Tahoma" w:hAnsi="Tahoma" w:cs="Tahoma"/>
          <w:sz w:val="22"/>
          <w:szCs w:val="22"/>
          <w:lang w:val="ro-RO"/>
        </w:rPr>
        <w:t xml:space="preserve">din </w:t>
      </w:r>
      <w:r w:rsidR="00006417">
        <w:rPr>
          <w:rFonts w:ascii="Tahoma" w:hAnsi="Tahoma" w:cs="Tahoma"/>
          <w:sz w:val="22"/>
          <w:szCs w:val="22"/>
          <w:lang w:val="ro-RO"/>
        </w:rPr>
        <w:t>același act normativ</w:t>
      </w:r>
      <w:r w:rsidR="00006417" w:rsidRPr="00FC4C27">
        <w:rPr>
          <w:rFonts w:ascii="Tahoma" w:hAnsi="Tahoma" w:cs="Tahoma"/>
          <w:sz w:val="22"/>
          <w:szCs w:val="22"/>
          <w:lang w:val="ro-RO"/>
        </w:rPr>
        <w:t>, coroborate cu cele ale art. 14 alin. (2) teza a doua din Ordonanța de urgență a Guvernului nr.22/2009, aprobată prin Legea nr.113/2010, cu modificările și completările</w:t>
      </w:r>
      <w:r w:rsidR="00006417">
        <w:rPr>
          <w:rFonts w:ascii="Tahoma" w:hAnsi="Tahoma" w:cs="Tahoma"/>
          <w:sz w:val="22"/>
          <w:szCs w:val="22"/>
          <w:lang w:val="ro-RO"/>
        </w:rPr>
        <w:t xml:space="preserve"> ulterioare</w:t>
      </w:r>
      <w:r w:rsidR="001F7137">
        <w:rPr>
          <w:rFonts w:ascii="Tahoma" w:eastAsia="Times New Roman" w:hAnsi="Tahoma" w:cs="Tahoma"/>
          <w:bCs/>
          <w:sz w:val="22"/>
          <w:szCs w:val="22"/>
          <w:lang w:val="ro-RO" w:eastAsia="ro-RO"/>
        </w:rPr>
        <w:t>.</w:t>
      </w:r>
    </w:p>
    <w:p w14:paraId="4F58FA02" w14:textId="77777777" w:rsidR="00B26FF0" w:rsidRDefault="00B26FF0" w:rsidP="00DC7843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bookmarkStart w:id="10" w:name="do|ax3|pa13"/>
      <w:bookmarkEnd w:id="10"/>
    </w:p>
    <w:p w14:paraId="237BFA24" w14:textId="77777777" w:rsidR="00DC7843" w:rsidRPr="00DC7843" w:rsidRDefault="00DC7843" w:rsidP="00B26FF0">
      <w:pPr>
        <w:shd w:val="clear" w:color="auto" w:fill="FFFFFF"/>
        <w:spacing w:before="0" w:after="0" w:line="240" w:lineRule="auto"/>
        <w:ind w:firstLine="720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r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>Menţionez că am luat cunoştinţă că</w:t>
      </w:r>
      <w:r w:rsidR="00281D71">
        <w:rPr>
          <w:rFonts w:ascii="Tahoma" w:eastAsia="Times New Roman" w:hAnsi="Tahoma" w:cs="Tahoma"/>
          <w:sz w:val="22"/>
          <w:szCs w:val="22"/>
          <w:lang w:val="ro-RO" w:eastAsia="ro-RO"/>
        </w:rPr>
        <w:t>,</w:t>
      </w:r>
      <w:r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din sumele de restituit</w:t>
      </w:r>
      <w:r w:rsidR="00281D71">
        <w:rPr>
          <w:rFonts w:ascii="Tahoma" w:eastAsia="Times New Roman" w:hAnsi="Tahoma" w:cs="Tahoma"/>
          <w:sz w:val="22"/>
          <w:szCs w:val="22"/>
          <w:lang w:val="ro-RO" w:eastAsia="ro-RO"/>
        </w:rPr>
        <w:t>,</w:t>
      </w:r>
      <w:r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vor fi compensate</w:t>
      </w:r>
      <w:r w:rsidR="00917582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de către ANCOM</w:t>
      </w:r>
      <w:r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</w:t>
      </w:r>
      <w:r w:rsidR="00B26FF0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eventualele </w:t>
      </w:r>
      <w:r w:rsidR="00B26FF0" w:rsidRPr="00E80FF2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obligaţii </w:t>
      </w:r>
      <w:r w:rsidR="004E78A5" w:rsidRPr="00E80FF2">
        <w:rPr>
          <w:rFonts w:ascii="Tahoma" w:eastAsia="Times New Roman" w:hAnsi="Tahoma" w:cs="Tahoma"/>
          <w:sz w:val="22"/>
          <w:szCs w:val="22"/>
          <w:lang w:val="ro-RO" w:eastAsia="ro-RO"/>
        </w:rPr>
        <w:t>fiscale/</w:t>
      </w:r>
      <w:r w:rsidRPr="00E80FF2">
        <w:rPr>
          <w:rFonts w:ascii="Tahoma" w:eastAsia="Times New Roman" w:hAnsi="Tahoma" w:cs="Tahoma"/>
          <w:sz w:val="22"/>
          <w:szCs w:val="22"/>
          <w:lang w:val="ro-RO" w:eastAsia="ro-RO"/>
        </w:rPr>
        <w:t>bugetare restan</w:t>
      </w:r>
      <w:r w:rsidR="00CB03DD" w:rsidRPr="00E80FF2">
        <w:rPr>
          <w:rFonts w:ascii="Tahoma" w:eastAsia="Times New Roman" w:hAnsi="Tahoma" w:cs="Tahoma"/>
          <w:sz w:val="22"/>
          <w:szCs w:val="22"/>
          <w:lang w:val="ro-RO" w:eastAsia="ro-RO"/>
        </w:rPr>
        <w:t>te existente în evidenţa ANCOM</w:t>
      </w:r>
      <w:r w:rsidRPr="00E80FF2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la data restituirii</w:t>
      </w:r>
      <w:r w:rsidR="004E78A5" w:rsidRPr="00E80FF2">
        <w:rPr>
          <w:rFonts w:ascii="Tahoma" w:eastAsia="Times New Roman" w:hAnsi="Tahoma" w:cs="Tahoma"/>
          <w:sz w:val="22"/>
          <w:szCs w:val="22"/>
          <w:lang w:val="ro-RO" w:eastAsia="ro-RO"/>
        </w:rPr>
        <w:t>, în condițiile art.168 alin.(8)</w:t>
      </w:r>
      <w:r w:rsidR="00006417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– (10)</w:t>
      </w:r>
      <w:r w:rsidR="004E78A5" w:rsidRPr="00E80FF2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din </w:t>
      </w:r>
      <w:hyperlink r:id="rId11" w:history="1">
        <w:r w:rsidR="00006417" w:rsidRPr="00E04101">
          <w:rPr>
            <w:rFonts w:ascii="Tahoma" w:eastAsia="Times New Roman" w:hAnsi="Tahoma" w:cs="Tahoma"/>
            <w:bCs/>
            <w:sz w:val="22"/>
            <w:szCs w:val="22"/>
            <w:lang w:val="ro-RO" w:eastAsia="ro-RO"/>
          </w:rPr>
          <w:t>Codul de procedură fiscală</w:t>
        </w:r>
      </w:hyperlink>
      <w:r w:rsidRPr="00E80FF2">
        <w:rPr>
          <w:rFonts w:ascii="Tahoma" w:eastAsia="Times New Roman" w:hAnsi="Tahoma" w:cs="Tahoma"/>
          <w:sz w:val="22"/>
          <w:szCs w:val="22"/>
          <w:lang w:val="ro-RO" w:eastAsia="ro-RO"/>
        </w:rPr>
        <w:t>.</w:t>
      </w:r>
    </w:p>
    <w:p w14:paraId="663801A1" w14:textId="77777777" w:rsidR="00FC7976" w:rsidRDefault="00FC7976" w:rsidP="00B26FF0">
      <w:pPr>
        <w:shd w:val="clear" w:color="auto" w:fill="FFFFFF"/>
        <w:spacing w:before="0" w:after="0" w:line="240" w:lineRule="auto"/>
        <w:ind w:firstLine="720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bookmarkStart w:id="11" w:name="do|ax3|pa14"/>
      <w:bookmarkEnd w:id="11"/>
    </w:p>
    <w:p w14:paraId="0DA3736E" w14:textId="77777777" w:rsidR="00DC7843" w:rsidRPr="00DC7843" w:rsidRDefault="00DC7843" w:rsidP="00B26FF0">
      <w:pPr>
        <w:shd w:val="clear" w:color="auto" w:fill="FFFFFF"/>
        <w:spacing w:before="0" w:after="0" w:line="240" w:lineRule="auto"/>
        <w:ind w:firstLine="720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r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>Solicit/Solicităm ca restituirea efectivă a sumelor cuvenite în continuare să se efectueze</w:t>
      </w:r>
      <w:r w:rsidR="00FC7976">
        <w:rPr>
          <w:rFonts w:ascii="Tahoma" w:eastAsia="Times New Roman" w:hAnsi="Tahoma" w:cs="Tahoma"/>
          <w:sz w:val="22"/>
          <w:szCs w:val="22"/>
          <w:vertAlign w:val="superscript"/>
          <w:lang w:val="ro-RO" w:eastAsia="ro-RO"/>
        </w:rPr>
        <w:t>3</w:t>
      </w:r>
      <w:r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>:</w:t>
      </w:r>
    </w:p>
    <w:p w14:paraId="528FF2B1" w14:textId="77777777" w:rsidR="00DC7843" w:rsidRPr="00FC7976" w:rsidRDefault="00DC7843" w:rsidP="00FC7976">
      <w:pPr>
        <w:pStyle w:val="ListParagraph"/>
        <w:numPr>
          <w:ilvl w:val="0"/>
          <w:numId w:val="2"/>
        </w:num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bookmarkStart w:id="12" w:name="do|ax3|pa15"/>
      <w:bookmarkStart w:id="13" w:name="do|ax3|pa17"/>
      <w:bookmarkEnd w:id="12"/>
      <w:bookmarkEnd w:id="13"/>
      <w:r w:rsidRPr="00FC7976">
        <w:rPr>
          <w:rFonts w:ascii="Tahoma" w:eastAsia="Times New Roman" w:hAnsi="Tahoma" w:cs="Tahoma"/>
          <w:sz w:val="22"/>
          <w:szCs w:val="22"/>
          <w:lang w:val="ro-RO" w:eastAsia="ro-RO"/>
        </w:rPr>
        <w:t>în contul bancar nr. .........., deschis la..........;</w:t>
      </w:r>
    </w:p>
    <w:p w14:paraId="775E3ED3" w14:textId="77777777" w:rsidR="00DC7843" w:rsidRDefault="00DC7843" w:rsidP="00FC7976">
      <w:pPr>
        <w:pStyle w:val="ListParagraph"/>
        <w:numPr>
          <w:ilvl w:val="0"/>
          <w:numId w:val="2"/>
        </w:num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  <w:bookmarkStart w:id="14" w:name="do|ax3|pa18"/>
      <w:bookmarkEnd w:id="14"/>
      <w:r w:rsidRPr="00FC7976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în numerar, la </w:t>
      </w:r>
      <w:r w:rsidR="001F7137">
        <w:rPr>
          <w:rFonts w:ascii="Tahoma" w:eastAsia="Times New Roman" w:hAnsi="Tahoma" w:cs="Tahoma"/>
          <w:sz w:val="22"/>
          <w:szCs w:val="22"/>
          <w:lang w:val="ro-RO" w:eastAsia="ro-RO"/>
        </w:rPr>
        <w:t>casieria ANCOM.</w:t>
      </w:r>
    </w:p>
    <w:p w14:paraId="759D0C46" w14:textId="77777777" w:rsidR="004E78A5" w:rsidRDefault="004E78A5" w:rsidP="004E78A5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</w:p>
    <w:p w14:paraId="24ECE1BA" w14:textId="77777777" w:rsidR="004E78A5" w:rsidRDefault="004E78A5" w:rsidP="004E78A5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</w:p>
    <w:p w14:paraId="2E9C5FA2" w14:textId="77777777" w:rsidR="004E78A5" w:rsidRPr="004E78A5" w:rsidRDefault="004E78A5" w:rsidP="004E78A5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</w:p>
    <w:p w14:paraId="400D9322" w14:textId="77777777" w:rsidR="00DC7843" w:rsidRPr="00DC7843" w:rsidRDefault="00DC7843" w:rsidP="00DC7843">
      <w:pPr>
        <w:shd w:val="clear" w:color="auto" w:fill="FFFFFF"/>
        <w:spacing w:before="0" w:after="0" w:line="240" w:lineRule="auto"/>
        <w:jc w:val="both"/>
        <w:rPr>
          <w:rFonts w:ascii="Tahoma" w:eastAsia="Times New Roman" w:hAnsi="Tahoma" w:cs="Tahoma"/>
          <w:sz w:val="22"/>
          <w:szCs w:val="22"/>
          <w:lang w:val="ro-RO" w:eastAsia="ro-RO"/>
        </w:rPr>
      </w:pP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DC7843" w:rsidRPr="00DC7843" w14:paraId="0812AD6D" w14:textId="77777777" w:rsidTr="00DC7843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14:paraId="63D24B8D" w14:textId="77777777" w:rsidR="00DC7843" w:rsidRPr="00DC7843" w:rsidRDefault="00FC7976" w:rsidP="00DC7843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</w:pPr>
            <w:bookmarkStart w:id="15" w:name="do|ax3|pa19"/>
            <w:bookmarkEnd w:id="15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  <w:t>Plătitor</w:t>
            </w:r>
            <w:r w:rsidR="00DC7843" w:rsidRPr="00DC7843"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  <w:t>/Reprezen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  <w:t>tantul legal al plătitorului</w:t>
            </w:r>
            <w:r w:rsidR="00DC7843" w:rsidRPr="00DC7843"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  <w:t>,</w:t>
            </w:r>
          </w:p>
          <w:p w14:paraId="15A95603" w14:textId="77777777" w:rsidR="00DC7843" w:rsidRPr="00DC7843" w:rsidRDefault="00DC7843" w:rsidP="00DC7843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</w:pPr>
            <w:r w:rsidRPr="00DC7843"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  <w:t>...........</w:t>
            </w:r>
          </w:p>
          <w:p w14:paraId="1C557940" w14:textId="77777777" w:rsidR="00DC7843" w:rsidRPr="00DC7843" w:rsidRDefault="00DC7843" w:rsidP="00DC7843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</w:pPr>
            <w:r w:rsidRPr="00DC7843"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  <w:t>(numele şi prenumele)</w:t>
            </w:r>
          </w:p>
          <w:p w14:paraId="16193CA8" w14:textId="77777777" w:rsidR="00FC7976" w:rsidRDefault="00FC7976" w:rsidP="00DC7843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</w:pPr>
          </w:p>
          <w:p w14:paraId="6138B98B" w14:textId="77777777" w:rsidR="00DC7843" w:rsidRPr="00DC7843" w:rsidRDefault="00DC7843" w:rsidP="00DC7843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</w:pPr>
            <w:r w:rsidRPr="00DC7843"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  <w:t>Semnătura ..........</w:t>
            </w:r>
          </w:p>
          <w:p w14:paraId="5832F265" w14:textId="77777777" w:rsidR="00FC7976" w:rsidRDefault="00FC7976" w:rsidP="00DC7843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</w:pPr>
          </w:p>
          <w:p w14:paraId="3589F1EC" w14:textId="77777777" w:rsidR="00DC7843" w:rsidRPr="00DC7843" w:rsidRDefault="00DC7843" w:rsidP="00DC7843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</w:pPr>
            <w:r w:rsidRPr="00DC7843">
              <w:rPr>
                <w:rFonts w:ascii="Tahoma" w:eastAsia="Times New Roman" w:hAnsi="Tahoma" w:cs="Tahoma"/>
                <w:color w:val="000000"/>
                <w:sz w:val="22"/>
                <w:szCs w:val="22"/>
                <w:lang w:val="ro-RO" w:eastAsia="ro-RO"/>
              </w:rPr>
              <w:t>Data ..........</w:t>
            </w:r>
          </w:p>
        </w:tc>
      </w:tr>
    </w:tbl>
    <w:p w14:paraId="4F93D509" w14:textId="77777777" w:rsidR="00782607" w:rsidRPr="00531C5C" w:rsidRDefault="00DC7843" w:rsidP="00E36A9C">
      <w:pPr>
        <w:spacing w:before="120" w:after="120" w:line="240" w:lineRule="auto"/>
        <w:rPr>
          <w:rFonts w:ascii="Tahoma" w:hAnsi="Tahoma" w:cs="Tahoma"/>
          <w:b/>
          <w:sz w:val="22"/>
          <w:szCs w:val="22"/>
          <w:lang w:val="ro-RO"/>
        </w:rPr>
      </w:pPr>
      <w:r w:rsidRPr="00531C5C">
        <w:rPr>
          <w:rFonts w:ascii="Tahoma" w:hAnsi="Tahoma" w:cs="Tahoma"/>
          <w:b/>
          <w:sz w:val="22"/>
          <w:szCs w:val="22"/>
        </w:rPr>
        <w:lastRenderedPageBreak/>
        <w:t xml:space="preserve"> </w:t>
      </w:r>
      <w:r w:rsidR="00782607" w:rsidRPr="00531C5C">
        <w:rPr>
          <w:rFonts w:ascii="Tahoma" w:hAnsi="Tahoma" w:cs="Tahoma"/>
          <w:b/>
          <w:sz w:val="22"/>
          <w:szCs w:val="22"/>
        </w:rPr>
        <w:br w:type="page"/>
      </w:r>
    </w:p>
    <w:p w14:paraId="75609B13" w14:textId="77777777" w:rsidR="00A81B2C" w:rsidRDefault="00DC7843" w:rsidP="00E36A9C">
      <w:pPr>
        <w:pStyle w:val="BodyText"/>
        <w:spacing w:before="120" w:after="120" w:line="240" w:lineRule="auto"/>
        <w:jc w:val="lef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 xml:space="preserve">Anexa </w:t>
      </w:r>
      <w:r w:rsidR="00AF682B">
        <w:rPr>
          <w:rFonts w:ascii="Tahoma" w:hAnsi="Tahoma" w:cs="Tahoma"/>
          <w:b/>
          <w:sz w:val="22"/>
          <w:szCs w:val="22"/>
        </w:rPr>
        <w:t>nr.</w:t>
      </w:r>
      <w:r w:rsidR="00920A93">
        <w:rPr>
          <w:rFonts w:ascii="Tahoma" w:hAnsi="Tahoma" w:cs="Tahoma"/>
          <w:b/>
          <w:sz w:val="22"/>
          <w:szCs w:val="22"/>
        </w:rPr>
        <w:t>I.</w:t>
      </w:r>
      <w:r>
        <w:rPr>
          <w:rFonts w:ascii="Tahoma" w:hAnsi="Tahoma" w:cs="Tahoma"/>
          <w:b/>
          <w:sz w:val="22"/>
          <w:szCs w:val="22"/>
        </w:rPr>
        <w:t>3</w:t>
      </w:r>
      <w:r w:rsidR="00920A93">
        <w:rPr>
          <w:rFonts w:ascii="Tahoma" w:hAnsi="Tahoma" w:cs="Tahoma"/>
          <w:b/>
          <w:sz w:val="22"/>
          <w:szCs w:val="22"/>
        </w:rPr>
        <w:t>.</w:t>
      </w:r>
      <w:r w:rsidR="00555D59" w:rsidRPr="00555D59">
        <w:rPr>
          <w:rFonts w:ascii="Tahoma" w:hAnsi="Tahoma" w:cs="Tahoma"/>
          <w:b/>
          <w:sz w:val="22"/>
          <w:szCs w:val="22"/>
        </w:rPr>
        <w:t>b</w:t>
      </w:r>
    </w:p>
    <w:p w14:paraId="162A1BD2" w14:textId="77777777" w:rsidR="00555D59" w:rsidRPr="00555D59" w:rsidRDefault="00555D59" w:rsidP="00E36A9C">
      <w:pPr>
        <w:pStyle w:val="BodyText"/>
        <w:spacing w:before="120" w:after="120" w:line="240" w:lineRule="auto"/>
        <w:rPr>
          <w:rFonts w:ascii="Tahoma" w:hAnsi="Tahoma" w:cs="Tahoma"/>
          <w:b/>
          <w:sz w:val="22"/>
          <w:szCs w:val="22"/>
        </w:rPr>
      </w:pPr>
      <w:r w:rsidRPr="00555D59">
        <w:rPr>
          <w:rFonts w:ascii="Tahoma" w:hAnsi="Tahoma" w:cs="Tahoma"/>
          <w:b/>
          <w:sz w:val="22"/>
          <w:szCs w:val="22"/>
        </w:rPr>
        <w:t>INSTRUCȚIUNI DE COMPLETARE ȘI UTILIZARE A FORMULARULUI</w:t>
      </w:r>
      <w:r w:rsidRPr="00555D59">
        <w:rPr>
          <w:rFonts w:ascii="Tahoma" w:hAnsi="Tahoma" w:cs="Tahoma"/>
          <w:b/>
          <w:sz w:val="22"/>
          <w:szCs w:val="22"/>
        </w:rPr>
        <w:br/>
        <w:t>”</w:t>
      </w:r>
      <w:r w:rsidR="00DC7843">
        <w:rPr>
          <w:rFonts w:ascii="Tahoma" w:hAnsi="Tahoma" w:cs="Tahoma"/>
          <w:b/>
          <w:i/>
          <w:sz w:val="22"/>
          <w:szCs w:val="22"/>
        </w:rPr>
        <w:t xml:space="preserve">CERERE DE RESTITUIRE A CREANȚELOR </w:t>
      </w:r>
      <w:r w:rsidR="00CB03DD" w:rsidRPr="00CB03DD">
        <w:rPr>
          <w:rFonts w:ascii="Tahoma" w:eastAsia="Times New Roman" w:hAnsi="Tahoma" w:cs="Tahoma"/>
          <w:b/>
          <w:i/>
          <w:sz w:val="22"/>
          <w:szCs w:val="22"/>
          <w:lang w:eastAsia="ro-RO"/>
        </w:rPr>
        <w:t xml:space="preserve">ÎNCASATE ÎN PLUS LA BUGETUL </w:t>
      </w:r>
      <w:r w:rsidR="00CB03DD" w:rsidRPr="00CB03DD">
        <w:rPr>
          <w:rFonts w:ascii="Tahoma" w:hAnsi="Tahoma" w:cs="Tahoma"/>
          <w:b/>
          <w:i/>
          <w:sz w:val="22"/>
          <w:szCs w:val="22"/>
        </w:rPr>
        <w:t>AUTORITĂȚII NAȚIONALE PENTRU ADMINISTRARE ȘI REGLEMENTARE ÎN COMUNICAȚII</w:t>
      </w:r>
      <w:r w:rsidRPr="00CB03DD">
        <w:rPr>
          <w:rFonts w:ascii="Tahoma" w:hAnsi="Tahoma" w:cs="Tahoma"/>
          <w:b/>
          <w:i/>
          <w:sz w:val="22"/>
          <w:szCs w:val="22"/>
        </w:rPr>
        <w:t>”</w:t>
      </w:r>
    </w:p>
    <w:p w14:paraId="6879FAC3" w14:textId="77777777" w:rsidR="0055431C" w:rsidRDefault="0055431C" w:rsidP="00E36A9C">
      <w:pPr>
        <w:pStyle w:val="NormalWeb2"/>
        <w:spacing w:before="120" w:after="120" w:line="240" w:lineRule="auto"/>
        <w:ind w:left="0" w:right="0" w:firstLine="720"/>
        <w:jc w:val="both"/>
        <w:rPr>
          <w:rFonts w:ascii="Tahoma" w:hAnsi="Tahoma" w:cs="Tahoma"/>
          <w:sz w:val="22"/>
          <w:szCs w:val="22"/>
          <w:lang w:val="ro-RO"/>
        </w:rPr>
      </w:pPr>
    </w:p>
    <w:p w14:paraId="2A9602E0" w14:textId="77777777" w:rsidR="00555D59" w:rsidRPr="00555D59" w:rsidRDefault="00555D59" w:rsidP="0055431C">
      <w:pPr>
        <w:pStyle w:val="NormalWeb2"/>
        <w:spacing w:before="120" w:after="120" w:line="240" w:lineRule="auto"/>
        <w:ind w:right="0"/>
        <w:jc w:val="both"/>
        <w:rPr>
          <w:rFonts w:ascii="Tahoma" w:hAnsi="Tahoma" w:cs="Tahoma"/>
          <w:sz w:val="22"/>
          <w:szCs w:val="22"/>
          <w:lang w:val="ro-RO"/>
        </w:rPr>
      </w:pPr>
    </w:p>
    <w:p w14:paraId="57F924C3" w14:textId="77777777" w:rsidR="00E04101" w:rsidRPr="00AC42A8" w:rsidRDefault="00555D59" w:rsidP="00E36A9C">
      <w:pPr>
        <w:pStyle w:val="NormalWeb2"/>
        <w:spacing w:before="120" w:after="120" w:line="240" w:lineRule="auto"/>
        <w:ind w:left="0" w:right="0" w:firstLine="619"/>
        <w:jc w:val="both"/>
        <w:rPr>
          <w:rFonts w:ascii="Tahoma" w:hAnsi="Tahoma" w:cs="Tahoma"/>
          <w:color w:val="auto"/>
          <w:sz w:val="22"/>
          <w:szCs w:val="22"/>
        </w:rPr>
      </w:pPr>
      <w:r w:rsidRPr="00555D59">
        <w:rPr>
          <w:rFonts w:ascii="Tahoma" w:hAnsi="Tahoma" w:cs="Tahoma"/>
          <w:color w:val="auto"/>
          <w:sz w:val="22"/>
          <w:szCs w:val="22"/>
          <w:vertAlign w:val="superscript"/>
          <w:lang w:val="ro-RO"/>
        </w:rPr>
        <w:t>1</w:t>
      </w:r>
      <w:r w:rsidRPr="00555D59">
        <w:rPr>
          <w:rFonts w:ascii="Tahoma" w:hAnsi="Tahoma" w:cs="Tahoma"/>
          <w:color w:val="auto"/>
          <w:sz w:val="22"/>
          <w:szCs w:val="22"/>
          <w:lang w:val="ro-RO"/>
        </w:rPr>
        <w:t xml:space="preserve"> </w:t>
      </w:r>
      <w:r w:rsidR="00E04101">
        <w:rPr>
          <w:rFonts w:ascii="Tahoma" w:hAnsi="Tahoma" w:cs="Tahoma"/>
          <w:color w:val="auto"/>
          <w:sz w:val="22"/>
          <w:szCs w:val="22"/>
          <w:lang w:val="ro-RO"/>
        </w:rPr>
        <w:t>–</w:t>
      </w:r>
      <w:r w:rsidRPr="00555D59">
        <w:rPr>
          <w:rFonts w:ascii="Tahoma" w:hAnsi="Tahoma" w:cs="Tahoma"/>
          <w:color w:val="auto"/>
          <w:sz w:val="22"/>
          <w:szCs w:val="22"/>
          <w:lang w:val="ro-RO"/>
        </w:rPr>
        <w:t xml:space="preserve"> </w:t>
      </w:r>
      <w:r w:rsidR="00E04101">
        <w:rPr>
          <w:rFonts w:ascii="Tahoma" w:hAnsi="Tahoma" w:cs="Tahoma"/>
          <w:color w:val="auto"/>
          <w:sz w:val="22"/>
          <w:szCs w:val="22"/>
          <w:lang w:val="ro-RO"/>
        </w:rPr>
        <w:t>Se va completa</w:t>
      </w:r>
      <w:r w:rsidR="00E04101" w:rsidRPr="00E04101">
        <w:rPr>
          <w:rFonts w:ascii="Tahoma" w:hAnsi="Tahoma" w:cs="Tahoma"/>
          <w:color w:val="auto"/>
          <w:sz w:val="22"/>
          <w:szCs w:val="22"/>
          <w:lang w:val="ro-RO"/>
        </w:rPr>
        <w:t xml:space="preserve"> numele şi prenumele/denumirea plătitorului</w:t>
      </w:r>
      <w:r w:rsidR="00AC42A8">
        <w:rPr>
          <w:rFonts w:ascii="Tahoma" w:hAnsi="Tahoma" w:cs="Tahoma"/>
          <w:color w:val="auto"/>
          <w:sz w:val="22"/>
          <w:szCs w:val="22"/>
        </w:rPr>
        <w:t>;</w:t>
      </w:r>
    </w:p>
    <w:p w14:paraId="0C04416F" w14:textId="77777777" w:rsidR="001E06AB" w:rsidRDefault="001E06AB" w:rsidP="00E36A9C">
      <w:pPr>
        <w:pStyle w:val="NormalWeb2"/>
        <w:spacing w:before="120" w:after="120" w:line="240" w:lineRule="auto"/>
        <w:ind w:left="0" w:right="0" w:firstLine="619"/>
        <w:jc w:val="both"/>
        <w:rPr>
          <w:rFonts w:ascii="Tahoma" w:hAnsi="Tahoma" w:cs="Tahoma"/>
          <w:color w:val="auto"/>
          <w:sz w:val="22"/>
          <w:szCs w:val="22"/>
          <w:lang w:val="ro-RO"/>
        </w:rPr>
      </w:pPr>
    </w:p>
    <w:p w14:paraId="1A4EE4B7" w14:textId="77777777" w:rsidR="0000295B" w:rsidRDefault="00E04101" w:rsidP="001E06AB">
      <w:pPr>
        <w:pStyle w:val="NormalWeb2"/>
        <w:spacing w:before="120" w:after="120" w:line="240" w:lineRule="auto"/>
        <w:ind w:left="0" w:right="0" w:firstLine="619"/>
        <w:jc w:val="both"/>
        <w:rPr>
          <w:rFonts w:ascii="Tahoma" w:hAnsi="Tahoma" w:cs="Tahoma"/>
          <w:color w:val="auto"/>
          <w:sz w:val="22"/>
          <w:szCs w:val="22"/>
          <w:lang w:val="ro-RO"/>
        </w:rPr>
      </w:pPr>
      <w:r>
        <w:rPr>
          <w:rFonts w:ascii="Tahoma" w:hAnsi="Tahoma" w:cs="Tahoma"/>
          <w:color w:val="auto"/>
          <w:sz w:val="22"/>
          <w:szCs w:val="22"/>
          <w:vertAlign w:val="superscript"/>
          <w:lang w:val="ro-RO"/>
        </w:rPr>
        <w:t>2</w:t>
      </w:r>
      <w:r>
        <w:rPr>
          <w:rFonts w:ascii="Tahoma" w:hAnsi="Tahoma" w:cs="Tahoma"/>
          <w:color w:val="auto"/>
          <w:sz w:val="22"/>
          <w:szCs w:val="22"/>
          <w:lang w:val="ro-RO"/>
        </w:rPr>
        <w:t xml:space="preserve"> - </w:t>
      </w:r>
      <w:r w:rsidR="00555D59" w:rsidRPr="00E04101">
        <w:rPr>
          <w:rFonts w:ascii="Tahoma" w:hAnsi="Tahoma" w:cs="Tahoma"/>
          <w:color w:val="auto"/>
          <w:sz w:val="22"/>
          <w:szCs w:val="22"/>
          <w:lang w:val="ro-RO"/>
        </w:rPr>
        <w:t>Se</w:t>
      </w:r>
      <w:r w:rsidR="00555D59" w:rsidRPr="00555D59">
        <w:rPr>
          <w:rFonts w:ascii="Tahoma" w:hAnsi="Tahoma" w:cs="Tahoma"/>
          <w:color w:val="auto"/>
          <w:sz w:val="22"/>
          <w:szCs w:val="22"/>
          <w:lang w:val="ro-RO"/>
        </w:rPr>
        <w:t xml:space="preserve"> completează cu </w:t>
      </w:r>
      <w:r>
        <w:rPr>
          <w:rFonts w:ascii="Tahoma" w:hAnsi="Tahoma" w:cs="Tahoma"/>
          <w:color w:val="auto"/>
          <w:sz w:val="22"/>
          <w:szCs w:val="22"/>
          <w:lang w:val="ro-RO"/>
        </w:rPr>
        <w:t>denumirea debitului plătit</w:t>
      </w:r>
      <w:r w:rsidR="00555D59" w:rsidRPr="00555D59">
        <w:rPr>
          <w:rFonts w:ascii="Tahoma" w:hAnsi="Tahoma" w:cs="Tahoma"/>
          <w:color w:val="auto"/>
          <w:sz w:val="22"/>
          <w:szCs w:val="22"/>
          <w:lang w:val="ro-RO"/>
        </w:rPr>
        <w:t xml:space="preserve"> bugetului ANCOM: tarif </w:t>
      </w:r>
      <w:r w:rsidR="00491DAB">
        <w:rPr>
          <w:rFonts w:ascii="Tahoma" w:hAnsi="Tahoma" w:cs="Tahoma"/>
          <w:color w:val="auto"/>
          <w:sz w:val="22"/>
          <w:szCs w:val="22"/>
          <w:lang w:val="ro-RO"/>
        </w:rPr>
        <w:t>de monitorizare pentru anul .....</w:t>
      </w:r>
      <w:r w:rsidR="00555D59" w:rsidRPr="00555D59">
        <w:rPr>
          <w:rFonts w:ascii="Tahoma" w:hAnsi="Tahoma" w:cs="Tahoma"/>
          <w:color w:val="auto"/>
          <w:sz w:val="22"/>
          <w:szCs w:val="22"/>
          <w:lang w:val="ro-RO"/>
        </w:rPr>
        <w:t>, tarif de utiliz</w:t>
      </w:r>
      <w:r w:rsidR="00491DAB">
        <w:rPr>
          <w:rFonts w:ascii="Tahoma" w:hAnsi="Tahoma" w:cs="Tahoma"/>
          <w:color w:val="auto"/>
          <w:sz w:val="22"/>
          <w:szCs w:val="22"/>
          <w:lang w:val="ro-RO"/>
        </w:rPr>
        <w:t>are a spectrului pentru anul .....</w:t>
      </w:r>
      <w:r w:rsidR="00555D59" w:rsidRPr="00555D59">
        <w:rPr>
          <w:rFonts w:ascii="Tahoma" w:hAnsi="Tahoma" w:cs="Tahoma"/>
          <w:color w:val="auto"/>
          <w:sz w:val="22"/>
          <w:szCs w:val="22"/>
          <w:lang w:val="ro-RO"/>
        </w:rPr>
        <w:t xml:space="preserve">, tarif de utilizare a resurselor de </w:t>
      </w:r>
      <w:r w:rsidR="00491DAB" w:rsidRPr="00555D59">
        <w:rPr>
          <w:rFonts w:ascii="Tahoma" w:hAnsi="Tahoma" w:cs="Tahoma"/>
          <w:color w:val="auto"/>
          <w:sz w:val="22"/>
          <w:szCs w:val="22"/>
          <w:lang w:val="ro-RO"/>
        </w:rPr>
        <w:t>numerotație</w:t>
      </w:r>
      <w:r w:rsidR="00491DAB">
        <w:rPr>
          <w:rFonts w:ascii="Tahoma" w:hAnsi="Tahoma" w:cs="Tahoma"/>
          <w:color w:val="auto"/>
          <w:sz w:val="22"/>
          <w:szCs w:val="22"/>
          <w:lang w:val="ro-RO"/>
        </w:rPr>
        <w:t xml:space="preserve"> pentru anul .....</w:t>
      </w:r>
      <w:r w:rsidR="00555D59" w:rsidRPr="00555D59">
        <w:rPr>
          <w:rFonts w:ascii="Tahoma" w:hAnsi="Tahoma" w:cs="Tahoma"/>
          <w:color w:val="auto"/>
          <w:sz w:val="22"/>
          <w:szCs w:val="22"/>
          <w:lang w:val="ro-RO"/>
        </w:rPr>
        <w:t xml:space="preserve">, </w:t>
      </w:r>
      <w:r w:rsidR="00491DAB" w:rsidRPr="00555D59">
        <w:rPr>
          <w:rFonts w:ascii="Tahoma" w:hAnsi="Tahoma" w:cs="Tahoma"/>
          <w:color w:val="auto"/>
          <w:sz w:val="22"/>
          <w:szCs w:val="22"/>
          <w:lang w:val="ro-RO"/>
        </w:rPr>
        <w:t>contribuție</w:t>
      </w:r>
      <w:r w:rsidR="00555D59" w:rsidRPr="00555D59">
        <w:rPr>
          <w:rFonts w:ascii="Tahoma" w:hAnsi="Tahoma" w:cs="Tahoma"/>
          <w:color w:val="auto"/>
          <w:sz w:val="22"/>
          <w:szCs w:val="22"/>
          <w:lang w:val="ro-RO"/>
        </w:rPr>
        <w:t xml:space="preserve"> pentru compensarea costului net al furnizării serviciilor din sfera serviciului universal pentru anu</w:t>
      </w:r>
      <w:r w:rsidR="00491DAB">
        <w:rPr>
          <w:rFonts w:ascii="Tahoma" w:hAnsi="Tahoma" w:cs="Tahoma"/>
          <w:color w:val="auto"/>
          <w:sz w:val="22"/>
          <w:szCs w:val="22"/>
          <w:lang w:val="ro-RO"/>
        </w:rPr>
        <w:t>l .....</w:t>
      </w:r>
      <w:r w:rsidR="00555D59" w:rsidRPr="00555D59">
        <w:rPr>
          <w:rFonts w:ascii="Tahoma" w:hAnsi="Tahoma" w:cs="Tahoma"/>
          <w:color w:val="auto"/>
          <w:sz w:val="22"/>
          <w:szCs w:val="22"/>
          <w:lang w:val="ro-RO"/>
        </w:rPr>
        <w:t xml:space="preserve">, amendă administrativă, dobânzi, </w:t>
      </w:r>
      <w:r w:rsidR="00491DAB" w:rsidRPr="00555D59">
        <w:rPr>
          <w:rFonts w:ascii="Tahoma" w:hAnsi="Tahoma" w:cs="Tahoma"/>
          <w:color w:val="auto"/>
          <w:sz w:val="22"/>
          <w:szCs w:val="22"/>
          <w:lang w:val="ro-RO"/>
        </w:rPr>
        <w:t>penalități</w:t>
      </w:r>
      <w:r w:rsidR="004E78A5">
        <w:rPr>
          <w:rFonts w:ascii="Tahoma" w:hAnsi="Tahoma" w:cs="Tahoma"/>
          <w:color w:val="auto"/>
          <w:sz w:val="22"/>
          <w:szCs w:val="22"/>
          <w:lang w:val="ro-RO"/>
        </w:rPr>
        <w:t xml:space="preserve"> de întârziere</w:t>
      </w:r>
      <w:r w:rsidR="00555D59" w:rsidRPr="00555D59">
        <w:rPr>
          <w:rFonts w:ascii="Tahoma" w:hAnsi="Tahoma" w:cs="Tahoma"/>
          <w:color w:val="auto"/>
          <w:sz w:val="22"/>
          <w:szCs w:val="22"/>
          <w:lang w:val="ro-RO"/>
        </w:rPr>
        <w:t>, alte sume datorate bugetului ANCOM, după caz;</w:t>
      </w:r>
    </w:p>
    <w:p w14:paraId="5FA90C75" w14:textId="77777777" w:rsidR="001E06AB" w:rsidRDefault="001E06AB" w:rsidP="001E06AB">
      <w:pPr>
        <w:pStyle w:val="NormalWeb2"/>
        <w:spacing w:before="120" w:after="120" w:line="240" w:lineRule="auto"/>
        <w:ind w:left="0" w:right="0" w:firstLine="619"/>
        <w:jc w:val="both"/>
        <w:rPr>
          <w:rFonts w:ascii="Tahoma" w:hAnsi="Tahoma" w:cs="Tahoma"/>
          <w:color w:val="auto"/>
          <w:sz w:val="22"/>
          <w:szCs w:val="22"/>
          <w:lang w:val="ro-RO"/>
        </w:rPr>
      </w:pPr>
    </w:p>
    <w:p w14:paraId="734FC562" w14:textId="77777777" w:rsidR="00555D59" w:rsidRPr="00555D59" w:rsidRDefault="001E06AB" w:rsidP="00FC7976">
      <w:pPr>
        <w:pStyle w:val="NormalWeb2"/>
        <w:spacing w:before="120" w:after="120" w:line="240" w:lineRule="auto"/>
        <w:ind w:left="0" w:right="0" w:firstLine="619"/>
        <w:jc w:val="both"/>
        <w:rPr>
          <w:rFonts w:ascii="Tahoma" w:hAnsi="Tahoma" w:cs="Tahoma"/>
          <w:color w:val="auto"/>
          <w:sz w:val="22"/>
          <w:szCs w:val="22"/>
          <w:lang w:val="ro-RO"/>
        </w:rPr>
      </w:pPr>
      <w:r>
        <w:rPr>
          <w:rFonts w:ascii="Tahoma" w:hAnsi="Tahoma" w:cs="Tahoma"/>
          <w:color w:val="auto"/>
          <w:sz w:val="22"/>
          <w:szCs w:val="22"/>
          <w:vertAlign w:val="superscript"/>
          <w:lang w:val="ro-RO"/>
        </w:rPr>
        <w:t>3</w:t>
      </w:r>
      <w:r w:rsidR="00760280">
        <w:rPr>
          <w:rFonts w:ascii="Tahoma" w:hAnsi="Tahoma" w:cs="Tahoma"/>
          <w:color w:val="auto"/>
          <w:sz w:val="22"/>
          <w:szCs w:val="22"/>
          <w:lang w:val="ro-RO"/>
        </w:rPr>
        <w:t xml:space="preserve"> - </w:t>
      </w:r>
      <w:r w:rsidR="00FC7976"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>Se va bifa modalitatea agreată pentru re</w:t>
      </w:r>
      <w:r w:rsidR="00FC7976">
        <w:rPr>
          <w:rFonts w:ascii="Tahoma" w:eastAsia="Times New Roman" w:hAnsi="Tahoma" w:cs="Tahoma"/>
          <w:sz w:val="22"/>
          <w:szCs w:val="22"/>
          <w:lang w:val="ro-RO" w:eastAsia="ro-RO"/>
        </w:rPr>
        <w:t>stituire de către plătitorul</w:t>
      </w:r>
      <w:r w:rsidR="00FC7976"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persoană fizic</w:t>
      </w:r>
      <w:r w:rsidR="00FC7976">
        <w:rPr>
          <w:rFonts w:ascii="Tahoma" w:eastAsia="Times New Roman" w:hAnsi="Tahoma" w:cs="Tahoma"/>
          <w:sz w:val="22"/>
          <w:szCs w:val="22"/>
          <w:lang w:val="ro-RO" w:eastAsia="ro-RO"/>
        </w:rPr>
        <w:t>ă, iar în cazul plătitorului</w:t>
      </w:r>
      <w:r w:rsidR="00FC7976"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 persoană juridică se va bifa în mod obligatoriu contul bancar în care </w:t>
      </w:r>
      <w:r w:rsidR="00DA590E">
        <w:rPr>
          <w:rFonts w:ascii="Tahoma" w:eastAsia="Times New Roman" w:hAnsi="Tahoma" w:cs="Tahoma"/>
          <w:sz w:val="22"/>
          <w:szCs w:val="22"/>
          <w:lang w:val="ro-RO" w:eastAsia="ro-RO"/>
        </w:rPr>
        <w:t xml:space="preserve">acesta </w:t>
      </w:r>
      <w:r w:rsidR="00FC7976" w:rsidRPr="00DC7843">
        <w:rPr>
          <w:rFonts w:ascii="Tahoma" w:eastAsia="Times New Roman" w:hAnsi="Tahoma" w:cs="Tahoma"/>
          <w:sz w:val="22"/>
          <w:szCs w:val="22"/>
          <w:lang w:val="ro-RO" w:eastAsia="ro-RO"/>
        </w:rPr>
        <w:t>doreşte restituirea</w:t>
      </w:r>
      <w:r w:rsidR="00FC7976">
        <w:rPr>
          <w:rFonts w:ascii="Tahoma" w:eastAsia="Times New Roman" w:hAnsi="Tahoma" w:cs="Tahoma"/>
          <w:sz w:val="22"/>
          <w:szCs w:val="22"/>
          <w:lang w:val="ro-RO" w:eastAsia="ro-RO"/>
        </w:rPr>
        <w:t>.</w:t>
      </w:r>
    </w:p>
    <w:p w14:paraId="56543B7C" w14:textId="77777777" w:rsidR="00555D59" w:rsidRPr="00555D59" w:rsidRDefault="00555D59" w:rsidP="00E36A9C">
      <w:pPr>
        <w:pStyle w:val="NormalWeb2"/>
        <w:spacing w:before="120" w:after="120" w:line="240" w:lineRule="auto"/>
        <w:ind w:left="0" w:right="0" w:firstLine="619"/>
        <w:jc w:val="both"/>
        <w:rPr>
          <w:rFonts w:ascii="Tahoma" w:hAnsi="Tahoma" w:cs="Tahoma"/>
          <w:color w:val="auto"/>
          <w:sz w:val="22"/>
          <w:szCs w:val="22"/>
          <w:lang w:val="ro-RO"/>
        </w:rPr>
      </w:pPr>
    </w:p>
    <w:p w14:paraId="787AD9B0" w14:textId="77777777" w:rsidR="00555D59" w:rsidRPr="00555D59" w:rsidRDefault="00555D59" w:rsidP="00E36A9C">
      <w:pPr>
        <w:pStyle w:val="NormalWeb2"/>
        <w:spacing w:before="120" w:after="120" w:line="240" w:lineRule="auto"/>
        <w:ind w:left="0" w:right="0" w:firstLine="619"/>
        <w:jc w:val="both"/>
        <w:rPr>
          <w:rFonts w:ascii="Tahoma" w:hAnsi="Tahoma" w:cs="Tahoma"/>
          <w:b/>
          <w:sz w:val="22"/>
          <w:szCs w:val="22"/>
        </w:rPr>
      </w:pPr>
    </w:p>
    <w:sectPr w:rsidR="00555D59" w:rsidRPr="00555D59" w:rsidSect="00E36A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02EE" w14:textId="77777777" w:rsidR="00C72AC0" w:rsidRDefault="00C72AC0" w:rsidP="0000295B">
      <w:pPr>
        <w:spacing w:before="0" w:after="0" w:line="240" w:lineRule="auto"/>
      </w:pPr>
      <w:r>
        <w:separator/>
      </w:r>
    </w:p>
  </w:endnote>
  <w:endnote w:type="continuationSeparator" w:id="0">
    <w:p w14:paraId="21C792F6" w14:textId="77777777" w:rsidR="00C72AC0" w:rsidRDefault="00C72AC0" w:rsidP="000029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88B0" w14:textId="77777777" w:rsidR="00036317" w:rsidRDefault="00036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C376" w14:textId="77777777" w:rsidR="00036317" w:rsidRDefault="000363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10F4" w14:textId="77777777" w:rsidR="00036317" w:rsidRDefault="00036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92FD" w14:textId="77777777" w:rsidR="00C72AC0" w:rsidRDefault="00C72AC0" w:rsidP="0000295B">
      <w:pPr>
        <w:spacing w:before="0" w:after="0" w:line="240" w:lineRule="auto"/>
      </w:pPr>
      <w:r>
        <w:separator/>
      </w:r>
    </w:p>
  </w:footnote>
  <w:footnote w:type="continuationSeparator" w:id="0">
    <w:p w14:paraId="6DD8E600" w14:textId="77777777" w:rsidR="00C72AC0" w:rsidRDefault="00C72AC0" w:rsidP="000029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BAC6" w14:textId="77777777" w:rsidR="00036317" w:rsidRDefault="00036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CACA" w14:textId="754651BF" w:rsidR="00374FB9" w:rsidRDefault="00374FB9" w:rsidP="00374FB9">
    <w:pPr>
      <w:pStyle w:val="Heading9"/>
    </w:pPr>
    <w:r w:rsidRPr="00D33110">
      <w:rPr>
        <w:rFonts w:ascii="Tahoma" w:hAnsi="Tahoma" w:cs="Tahoma"/>
        <w:sz w:val="16"/>
      </w:rPr>
      <w:t xml:space="preserve">Durata medie de completare: </w:t>
    </w:r>
    <w:r w:rsidR="00036317">
      <w:rPr>
        <w:rFonts w:ascii="Tahoma" w:hAnsi="Tahoma" w:cs="Tahoma"/>
        <w:sz w:val="16"/>
      </w:rPr>
      <w:t>4</w:t>
    </w:r>
    <w:r w:rsidRPr="00D33110">
      <w:rPr>
        <w:rFonts w:ascii="Tahoma" w:hAnsi="Tahoma" w:cs="Tahoma"/>
        <w:sz w:val="16"/>
      </w:rPr>
      <w:t xml:space="preserve"> minute </w:t>
    </w:r>
  </w:p>
  <w:p w14:paraId="5D107907" w14:textId="77777777" w:rsidR="00374FB9" w:rsidRPr="00374FB9" w:rsidRDefault="00374FB9" w:rsidP="00374F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9486" w14:textId="77777777" w:rsidR="00036317" w:rsidRDefault="00036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E0743"/>
    <w:multiLevelType w:val="hybridMultilevel"/>
    <w:tmpl w:val="4DF654B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62BAF"/>
    <w:multiLevelType w:val="hybridMultilevel"/>
    <w:tmpl w:val="7DCEBFB8"/>
    <w:lvl w:ilvl="0" w:tplc="0418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A6"/>
    <w:rsid w:val="0000295B"/>
    <w:rsid w:val="00006417"/>
    <w:rsid w:val="00007E9E"/>
    <w:rsid w:val="00036317"/>
    <w:rsid w:val="00073927"/>
    <w:rsid w:val="000C57CD"/>
    <w:rsid w:val="000D40DB"/>
    <w:rsid w:val="000D7268"/>
    <w:rsid w:val="001330FB"/>
    <w:rsid w:val="00133C09"/>
    <w:rsid w:val="0014730D"/>
    <w:rsid w:val="001615AC"/>
    <w:rsid w:val="00193251"/>
    <w:rsid w:val="001B21DC"/>
    <w:rsid w:val="001B5847"/>
    <w:rsid w:val="001C4055"/>
    <w:rsid w:val="001D4ECB"/>
    <w:rsid w:val="001E06AB"/>
    <w:rsid w:val="001F20E9"/>
    <w:rsid w:val="001F4E90"/>
    <w:rsid w:val="001F7137"/>
    <w:rsid w:val="002350AE"/>
    <w:rsid w:val="00255E7F"/>
    <w:rsid w:val="002575E0"/>
    <w:rsid w:val="00276C64"/>
    <w:rsid w:val="00281D71"/>
    <w:rsid w:val="00296003"/>
    <w:rsid w:val="002D33F9"/>
    <w:rsid w:val="002F2587"/>
    <w:rsid w:val="003320B0"/>
    <w:rsid w:val="00334806"/>
    <w:rsid w:val="00374FB9"/>
    <w:rsid w:val="00384E00"/>
    <w:rsid w:val="00396244"/>
    <w:rsid w:val="003C378B"/>
    <w:rsid w:val="003C65CF"/>
    <w:rsid w:val="003D7621"/>
    <w:rsid w:val="00413AA9"/>
    <w:rsid w:val="00420FA2"/>
    <w:rsid w:val="004331CF"/>
    <w:rsid w:val="00453445"/>
    <w:rsid w:val="00466DA0"/>
    <w:rsid w:val="00491DAB"/>
    <w:rsid w:val="00492469"/>
    <w:rsid w:val="00493D6B"/>
    <w:rsid w:val="004B3C5B"/>
    <w:rsid w:val="004E4ADF"/>
    <w:rsid w:val="004E78A5"/>
    <w:rsid w:val="00531C5C"/>
    <w:rsid w:val="0055431C"/>
    <w:rsid w:val="00555D59"/>
    <w:rsid w:val="005815D7"/>
    <w:rsid w:val="005821CE"/>
    <w:rsid w:val="005A12B5"/>
    <w:rsid w:val="005D068E"/>
    <w:rsid w:val="005F1C76"/>
    <w:rsid w:val="00687DA6"/>
    <w:rsid w:val="006B29BD"/>
    <w:rsid w:val="00737BDA"/>
    <w:rsid w:val="0075715E"/>
    <w:rsid w:val="00760280"/>
    <w:rsid w:val="00782607"/>
    <w:rsid w:val="007A1814"/>
    <w:rsid w:val="008440FE"/>
    <w:rsid w:val="00891D47"/>
    <w:rsid w:val="008A7412"/>
    <w:rsid w:val="008C0889"/>
    <w:rsid w:val="00917582"/>
    <w:rsid w:val="00920A93"/>
    <w:rsid w:val="009408A6"/>
    <w:rsid w:val="00946892"/>
    <w:rsid w:val="00957F04"/>
    <w:rsid w:val="00976680"/>
    <w:rsid w:val="009B4BC7"/>
    <w:rsid w:val="009B6884"/>
    <w:rsid w:val="009C02A3"/>
    <w:rsid w:val="009D62C2"/>
    <w:rsid w:val="00A63B60"/>
    <w:rsid w:val="00A7570A"/>
    <w:rsid w:val="00A75C2F"/>
    <w:rsid w:val="00A81B2C"/>
    <w:rsid w:val="00A9067C"/>
    <w:rsid w:val="00AB5EB6"/>
    <w:rsid w:val="00AC42A8"/>
    <w:rsid w:val="00AC6AEF"/>
    <w:rsid w:val="00AF58B1"/>
    <w:rsid w:val="00AF682B"/>
    <w:rsid w:val="00B26FF0"/>
    <w:rsid w:val="00B600B9"/>
    <w:rsid w:val="00B944AE"/>
    <w:rsid w:val="00B956BB"/>
    <w:rsid w:val="00B967DA"/>
    <w:rsid w:val="00C13275"/>
    <w:rsid w:val="00C22DBC"/>
    <w:rsid w:val="00C30BF3"/>
    <w:rsid w:val="00C44797"/>
    <w:rsid w:val="00C537C4"/>
    <w:rsid w:val="00C56D4B"/>
    <w:rsid w:val="00C72AC0"/>
    <w:rsid w:val="00C75FD6"/>
    <w:rsid w:val="00C766D1"/>
    <w:rsid w:val="00C90150"/>
    <w:rsid w:val="00CB03DD"/>
    <w:rsid w:val="00CB09F2"/>
    <w:rsid w:val="00CB16C8"/>
    <w:rsid w:val="00CC0B77"/>
    <w:rsid w:val="00CF6FEC"/>
    <w:rsid w:val="00D54295"/>
    <w:rsid w:val="00D60A64"/>
    <w:rsid w:val="00D61384"/>
    <w:rsid w:val="00D67D93"/>
    <w:rsid w:val="00D824DC"/>
    <w:rsid w:val="00D925AC"/>
    <w:rsid w:val="00DA590E"/>
    <w:rsid w:val="00DC7843"/>
    <w:rsid w:val="00DD16FA"/>
    <w:rsid w:val="00DE03C7"/>
    <w:rsid w:val="00DE1C6B"/>
    <w:rsid w:val="00E03383"/>
    <w:rsid w:val="00E04101"/>
    <w:rsid w:val="00E34C2E"/>
    <w:rsid w:val="00E34D9A"/>
    <w:rsid w:val="00E36A9C"/>
    <w:rsid w:val="00E52FD6"/>
    <w:rsid w:val="00E72945"/>
    <w:rsid w:val="00E73369"/>
    <w:rsid w:val="00E80FF2"/>
    <w:rsid w:val="00F404BE"/>
    <w:rsid w:val="00F60354"/>
    <w:rsid w:val="00F621AC"/>
    <w:rsid w:val="00F92CBD"/>
    <w:rsid w:val="00FC5AD0"/>
    <w:rsid w:val="00F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998F"/>
  <w15:chartTrackingRefBased/>
  <w15:docId w15:val="{74E48557-78EC-4615-B728-30F32E2C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77"/>
  </w:style>
  <w:style w:type="paragraph" w:styleId="Heading1">
    <w:name w:val="heading 1"/>
    <w:basedOn w:val="Normal"/>
    <w:next w:val="Normal"/>
    <w:link w:val="Heading1Char"/>
    <w:uiPriority w:val="9"/>
    <w:qFormat/>
    <w:rsid w:val="00CC0B7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B7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B7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B7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B7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B7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B7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B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B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440FE"/>
    <w:pPr>
      <w:jc w:val="center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8440FE"/>
    <w:rPr>
      <w:rFonts w:ascii="Times New Roman" w:eastAsia="Times New Roman" w:hAnsi="Times New Roman" w:cs="Times New Roman"/>
      <w:sz w:val="28"/>
      <w:szCs w:val="24"/>
      <w:lang w:val="ro-RO"/>
    </w:rPr>
  </w:style>
  <w:style w:type="paragraph" w:customStyle="1" w:styleId="NormalWeb2">
    <w:name w:val="Normal (Web)2"/>
    <w:basedOn w:val="Normal"/>
    <w:rsid w:val="008440FE"/>
    <w:pPr>
      <w:spacing w:before="105" w:after="105"/>
      <w:ind w:left="105" w:right="105"/>
    </w:pPr>
    <w:rPr>
      <w:color w:val="000000"/>
    </w:rPr>
  </w:style>
  <w:style w:type="paragraph" w:customStyle="1" w:styleId="NormalWeb3">
    <w:name w:val="Normal (Web)3"/>
    <w:basedOn w:val="Normal"/>
    <w:rsid w:val="008440FE"/>
    <w:pPr>
      <w:spacing w:before="92" w:after="92"/>
      <w:ind w:left="92" w:right="92"/>
    </w:pPr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8440FE"/>
    <w:rPr>
      <w:color w:val="0000FF"/>
      <w:u w:val="single"/>
    </w:rPr>
  </w:style>
  <w:style w:type="character" w:styleId="CommentReference">
    <w:name w:val="annotation reference"/>
    <w:rsid w:val="008440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40FE"/>
  </w:style>
  <w:style w:type="character" w:customStyle="1" w:styleId="CommentTextChar">
    <w:name w:val="Comment Text Char"/>
    <w:basedOn w:val="DefaultParagraphFont"/>
    <w:link w:val="CommentText"/>
    <w:rsid w:val="008440F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FE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C0B7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B7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B7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B7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B7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B7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B7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B7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B7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B7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C0B7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0B7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B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C0B7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C0B77"/>
    <w:rPr>
      <w:b/>
      <w:bCs/>
    </w:rPr>
  </w:style>
  <w:style w:type="character" w:styleId="Emphasis">
    <w:name w:val="Emphasis"/>
    <w:uiPriority w:val="20"/>
    <w:qFormat/>
    <w:rsid w:val="00CC0B7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CC0B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0B7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0B7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B7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B7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CC0B7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CC0B7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CC0B7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CC0B7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CC0B7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0B77"/>
    <w:pPr>
      <w:outlineLvl w:val="9"/>
    </w:pPr>
  </w:style>
  <w:style w:type="paragraph" w:customStyle="1" w:styleId="CharCharCharCaracterCaracter">
    <w:name w:val="Char Char Char Caracter Caracter"/>
    <w:basedOn w:val="Normal"/>
    <w:rsid w:val="00891D47"/>
    <w:pPr>
      <w:spacing w:before="0" w:after="160" w:line="240" w:lineRule="exact"/>
    </w:pPr>
    <w:rPr>
      <w:rFonts w:ascii="Tahoma" w:eastAsia="Times New Roman" w:hAnsi="Tahoma" w:cs="Times New Roman"/>
    </w:rPr>
  </w:style>
  <w:style w:type="table" w:styleId="TableGrid">
    <w:name w:val="Table Grid"/>
    <w:basedOn w:val="TableNormal"/>
    <w:rsid w:val="00D824DC"/>
    <w:pPr>
      <w:spacing w:before="0"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295B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95B"/>
  </w:style>
  <w:style w:type="character" w:styleId="FootnoteReference">
    <w:name w:val="footnote reference"/>
    <w:basedOn w:val="DefaultParagraphFont"/>
    <w:uiPriority w:val="99"/>
    <w:semiHidden/>
    <w:unhideWhenUsed/>
    <w:rsid w:val="0000295B"/>
    <w:rPr>
      <w:vertAlign w:val="superscript"/>
    </w:rPr>
  </w:style>
  <w:style w:type="character" w:customStyle="1" w:styleId="tpa1">
    <w:name w:val="tpa1"/>
    <w:rsid w:val="00D60A64"/>
  </w:style>
  <w:style w:type="paragraph" w:styleId="ListParagraph">
    <w:name w:val="List Paragraph"/>
    <w:basedOn w:val="Normal"/>
    <w:uiPriority w:val="34"/>
    <w:qFormat/>
    <w:rsid w:val="00E041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FB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FB9"/>
  </w:style>
  <w:style w:type="paragraph" w:styleId="Footer">
    <w:name w:val="footer"/>
    <w:basedOn w:val="Normal"/>
    <w:link w:val="FooterChar"/>
    <w:uiPriority w:val="99"/>
    <w:unhideWhenUsed/>
    <w:rsid w:val="00374FB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010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09350106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9531663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0017448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0560209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81092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1898913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1195988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444538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879897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653535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245747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6623302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466687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112003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8047619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636555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03658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336634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4053118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3457775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585556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rta.berbece\sintact%204.0\cache\Legislatie\temp4391722\00171867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berta.berbece\sintact%204.0\cache\Legislatie\temp4391722\00171868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Users\berta.berbece\sintact%204.0\cache\Legislatie\temp4391722\00171868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berta.berbece\sintact%204.0\cache\Legislatie\temp4391722\00171868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E82F-7126-4652-B219-8040CEA2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Braniste</dc:creator>
  <cp:keywords/>
  <dc:description/>
  <cp:lastModifiedBy>Andreea Georgescu</cp:lastModifiedBy>
  <cp:revision>16</cp:revision>
  <cp:lastPrinted>2016-02-25T06:59:00Z</cp:lastPrinted>
  <dcterms:created xsi:type="dcterms:W3CDTF">2018-06-21T09:39:00Z</dcterms:created>
  <dcterms:modified xsi:type="dcterms:W3CDTF">2022-04-05T11:27:00Z</dcterms:modified>
</cp:coreProperties>
</file>