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BA" w:rsidRPr="00C37AF1" w:rsidRDefault="00A20DBA" w:rsidP="00A20DBA">
      <w:pPr>
        <w:ind w:firstLine="13680"/>
        <w:jc w:val="center"/>
        <w:rPr>
          <w:rFonts w:ascii="Tahoma" w:hAnsi="Tahoma" w:cs="Tahoma"/>
          <w:bCs/>
          <w:i/>
          <w:sz w:val="28"/>
          <w:szCs w:val="28"/>
          <w:u w:val="single"/>
        </w:rPr>
      </w:pPr>
      <w:r w:rsidRPr="00125A69">
        <w:rPr>
          <w:rFonts w:ascii="Tahoma" w:hAnsi="Tahoma" w:cs="Tahoma"/>
          <w:bCs/>
          <w:i/>
          <w:sz w:val="28"/>
          <w:szCs w:val="28"/>
          <w:u w:val="single"/>
        </w:rPr>
        <w:t xml:space="preserve">ANEXA Nr. 15 </w:t>
      </w:r>
    </w:p>
    <w:p w:rsidR="00A20DBA" w:rsidRPr="00D62A6E" w:rsidRDefault="00A20DBA" w:rsidP="00A20DBA">
      <w:pPr>
        <w:jc w:val="center"/>
        <w:rPr>
          <w:rFonts w:ascii="Tahoma" w:hAnsi="Tahoma" w:cs="Tahoma"/>
          <w:b/>
          <w:iCs/>
          <w:sz w:val="28"/>
          <w:szCs w:val="28"/>
        </w:rPr>
      </w:pPr>
      <w:r w:rsidRPr="00D62A6E">
        <w:rPr>
          <w:rFonts w:ascii="Tahoma" w:hAnsi="Tahoma" w:cs="Tahoma"/>
          <w:b/>
          <w:iCs/>
          <w:sz w:val="28"/>
          <w:szCs w:val="28"/>
        </w:rPr>
        <w:t>Venituri semestriale obținute din furnizarea de rețele și/sau de servicii de comunicații electronice</w:t>
      </w:r>
    </w:p>
    <w:p w:rsidR="00A20DBA" w:rsidRDefault="00A20DBA" w:rsidP="00A20DBA">
      <w:pPr>
        <w:rPr>
          <w:rFonts w:ascii="Tahoma" w:hAnsi="Tahoma" w:cs="Tahoma"/>
          <w:sz w:val="16"/>
          <w:szCs w:val="16"/>
        </w:rPr>
      </w:pPr>
    </w:p>
    <w:p w:rsidR="00A20DBA" w:rsidRPr="00D62A6E" w:rsidRDefault="00A20DBA" w:rsidP="00A20DBA">
      <w:pPr>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740"/>
        <w:gridCol w:w="3240"/>
        <w:gridCol w:w="2880"/>
      </w:tblGrid>
      <w:tr w:rsidR="00A20DBA" w:rsidRPr="00D62A6E" w:rsidTr="006942D8">
        <w:tblPrEx>
          <w:tblCellMar>
            <w:top w:w="0" w:type="dxa"/>
            <w:bottom w:w="0" w:type="dxa"/>
          </w:tblCellMar>
        </w:tblPrEx>
        <w:tc>
          <w:tcPr>
            <w:tcW w:w="1008" w:type="dxa"/>
            <w:vAlign w:val="center"/>
          </w:tcPr>
          <w:p w:rsidR="00A20DBA" w:rsidRPr="00D62A6E" w:rsidRDefault="00A20DBA" w:rsidP="006942D8">
            <w:pPr>
              <w:rPr>
                <w:rFonts w:ascii="Tahoma" w:hAnsi="Tahoma"/>
                <w:b/>
                <w:sz w:val="20"/>
              </w:rPr>
            </w:pPr>
          </w:p>
        </w:tc>
        <w:tc>
          <w:tcPr>
            <w:tcW w:w="7740" w:type="dxa"/>
            <w:vAlign w:val="center"/>
          </w:tcPr>
          <w:p w:rsidR="00A20DBA" w:rsidRPr="00D62A6E" w:rsidRDefault="00A20DBA" w:rsidP="006942D8">
            <w:pPr>
              <w:jc w:val="center"/>
              <w:rPr>
                <w:rFonts w:ascii="Tahoma" w:hAnsi="Tahoma"/>
                <w:bCs/>
                <w:sz w:val="20"/>
              </w:rPr>
            </w:pPr>
            <w:r w:rsidRPr="00D62A6E">
              <w:rPr>
                <w:rFonts w:ascii="Tahoma" w:hAnsi="Tahoma"/>
                <w:bCs/>
                <w:sz w:val="20"/>
              </w:rPr>
              <w:t>Indicator</w:t>
            </w:r>
          </w:p>
        </w:tc>
        <w:tc>
          <w:tcPr>
            <w:tcW w:w="3240" w:type="dxa"/>
            <w:vAlign w:val="center"/>
          </w:tcPr>
          <w:p w:rsidR="00A20DBA" w:rsidRPr="00D62A6E" w:rsidRDefault="00A20DBA" w:rsidP="006942D8">
            <w:pPr>
              <w:jc w:val="center"/>
              <w:rPr>
                <w:rFonts w:ascii="Tahoma" w:hAnsi="Tahoma"/>
                <w:bCs/>
                <w:sz w:val="20"/>
              </w:rPr>
            </w:pPr>
            <w:r w:rsidRPr="00D62A6E">
              <w:rPr>
                <w:rFonts w:ascii="Tahoma" w:hAnsi="Tahoma" w:cs="Tahoma"/>
                <w:bCs/>
                <w:sz w:val="20"/>
              </w:rPr>
              <w:t>Venituri semestriale</w:t>
            </w:r>
          </w:p>
        </w:tc>
        <w:tc>
          <w:tcPr>
            <w:tcW w:w="2880" w:type="dxa"/>
            <w:vAlign w:val="center"/>
          </w:tcPr>
          <w:p w:rsidR="00A20DBA" w:rsidRPr="00D62A6E" w:rsidRDefault="00A20DBA" w:rsidP="006942D8">
            <w:pPr>
              <w:jc w:val="center"/>
              <w:rPr>
                <w:rFonts w:ascii="Tahoma" w:hAnsi="Tahoma"/>
                <w:bCs/>
                <w:sz w:val="20"/>
              </w:rPr>
            </w:pPr>
            <w:r w:rsidRPr="00D62A6E">
              <w:rPr>
                <w:rFonts w:ascii="Tahoma" w:hAnsi="Tahoma"/>
                <w:bCs/>
                <w:sz w:val="20"/>
              </w:rPr>
              <w:t>Observații</w:t>
            </w: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bCs/>
                <w:sz w:val="20"/>
              </w:rPr>
            </w:pPr>
            <w:r w:rsidRPr="00D62A6E">
              <w:rPr>
                <w:rFonts w:ascii="Tahoma" w:hAnsi="Tahoma"/>
                <w:bCs/>
                <w:sz w:val="20"/>
              </w:rPr>
              <w:t>i1501</w:t>
            </w:r>
          </w:p>
        </w:tc>
        <w:tc>
          <w:tcPr>
            <w:tcW w:w="7740" w:type="dxa"/>
          </w:tcPr>
          <w:p w:rsidR="00A20DBA" w:rsidRPr="00D62A6E" w:rsidRDefault="00A20DBA" w:rsidP="006942D8">
            <w:pPr>
              <w:jc w:val="both"/>
              <w:rPr>
                <w:rFonts w:ascii="Tahoma" w:hAnsi="Tahoma"/>
                <w:bCs/>
                <w:sz w:val="20"/>
                <w:szCs w:val="20"/>
              </w:rPr>
            </w:pPr>
            <w:r w:rsidRPr="00D62A6E">
              <w:rPr>
                <w:rFonts w:ascii="Tahoma" w:hAnsi="Tahoma"/>
                <w:bCs/>
                <w:sz w:val="20"/>
                <w:szCs w:val="20"/>
              </w:rPr>
              <w:t>Total venituri obținute din furnizarea de rețele și/sau servicii de comunicații electronice</w:t>
            </w:r>
          </w:p>
        </w:tc>
        <w:tc>
          <w:tcPr>
            <w:tcW w:w="3240" w:type="dxa"/>
          </w:tcPr>
          <w:p w:rsidR="00A20DBA" w:rsidRPr="00D62A6E" w:rsidRDefault="00A20DBA" w:rsidP="006942D8">
            <w:pPr>
              <w:jc w:val="center"/>
              <w:rPr>
                <w:rFonts w:ascii="Tahoma" w:hAnsi="Tahoma"/>
                <w:b/>
                <w:sz w:val="20"/>
              </w:rPr>
            </w:pPr>
          </w:p>
        </w:tc>
        <w:tc>
          <w:tcPr>
            <w:tcW w:w="2880" w:type="dxa"/>
          </w:tcPr>
          <w:p w:rsidR="00A20DBA" w:rsidRPr="00D62A6E" w:rsidRDefault="00A20DBA" w:rsidP="006942D8">
            <w:pPr>
              <w:jc w:val="center"/>
              <w:rPr>
                <w:rFonts w:ascii="Tahoma" w:hAnsi="Tahoma"/>
                <w:b/>
                <w:sz w:val="20"/>
              </w:rPr>
            </w:pPr>
          </w:p>
        </w:tc>
      </w:tr>
      <w:tr w:rsidR="00A20DBA" w:rsidRPr="00D62A6E" w:rsidTr="006942D8">
        <w:tblPrEx>
          <w:tblCellMar>
            <w:top w:w="0" w:type="dxa"/>
            <w:bottom w:w="0" w:type="dxa"/>
          </w:tblCellMar>
        </w:tblPrEx>
        <w:tc>
          <w:tcPr>
            <w:tcW w:w="1008" w:type="dxa"/>
            <w:tcBorders>
              <w:bottom w:val="single" w:sz="4" w:space="0" w:color="auto"/>
            </w:tcBorders>
          </w:tcPr>
          <w:p w:rsidR="00A20DBA" w:rsidRPr="00D62A6E" w:rsidRDefault="00A20DBA" w:rsidP="006942D8">
            <w:pPr>
              <w:jc w:val="both"/>
              <w:rPr>
                <w:rFonts w:ascii="Tahoma" w:hAnsi="Tahoma"/>
                <w:sz w:val="20"/>
              </w:rPr>
            </w:pPr>
            <w:r w:rsidRPr="00D62A6E">
              <w:rPr>
                <w:rFonts w:ascii="Tahoma" w:hAnsi="Tahoma"/>
                <w:sz w:val="20"/>
              </w:rPr>
              <w:t>i1501a</w:t>
            </w:r>
          </w:p>
        </w:tc>
        <w:tc>
          <w:tcPr>
            <w:tcW w:w="7740" w:type="dxa"/>
            <w:tcBorders>
              <w:bottom w:val="single" w:sz="4" w:space="0" w:color="auto"/>
            </w:tcBorders>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a) venituri din furnizarea de rețele publice fixe, din care:</w:t>
            </w:r>
          </w:p>
        </w:tc>
        <w:tc>
          <w:tcPr>
            <w:tcW w:w="3240" w:type="dxa"/>
            <w:tcBorders>
              <w:bottom w:val="single" w:sz="4" w:space="0" w:color="auto"/>
            </w:tcBorders>
          </w:tcPr>
          <w:p w:rsidR="00A20DBA" w:rsidRPr="00D62A6E" w:rsidRDefault="00A20DBA" w:rsidP="006942D8">
            <w:pPr>
              <w:jc w:val="center"/>
              <w:rPr>
                <w:rFonts w:ascii="Tahoma" w:hAnsi="Tahoma"/>
                <w:sz w:val="20"/>
              </w:rPr>
            </w:pPr>
          </w:p>
        </w:tc>
        <w:tc>
          <w:tcPr>
            <w:tcW w:w="2880" w:type="dxa"/>
            <w:tcBorders>
              <w:bottom w:val="single" w:sz="4" w:space="0" w:color="auto"/>
            </w:tcBorders>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shd w:val="clear" w:color="auto" w:fill="auto"/>
          </w:tcPr>
          <w:p w:rsidR="00A20DBA" w:rsidRPr="00D62A6E" w:rsidRDefault="00A20DBA" w:rsidP="006942D8">
            <w:pPr>
              <w:jc w:val="both"/>
              <w:rPr>
                <w:rFonts w:ascii="Tahoma" w:hAnsi="Tahoma"/>
                <w:sz w:val="20"/>
              </w:rPr>
            </w:pPr>
            <w:r w:rsidRPr="00D62A6E">
              <w:rPr>
                <w:rFonts w:ascii="Tahoma" w:hAnsi="Tahoma"/>
                <w:sz w:val="20"/>
              </w:rPr>
              <w:t>i1501a1</w:t>
            </w:r>
          </w:p>
        </w:tc>
        <w:tc>
          <w:tcPr>
            <w:tcW w:w="7740" w:type="dxa"/>
            <w:shd w:val="clear" w:color="auto" w:fill="auto"/>
            <w:vAlign w:val="center"/>
          </w:tcPr>
          <w:p w:rsidR="00A20DBA" w:rsidRPr="00D62A6E" w:rsidRDefault="00A20DBA" w:rsidP="006942D8">
            <w:pPr>
              <w:jc w:val="both"/>
              <w:rPr>
                <w:rFonts w:ascii="Tahoma" w:hAnsi="Tahoma" w:cs="Tahoma"/>
                <w:iCs/>
                <w:sz w:val="20"/>
                <w:szCs w:val="20"/>
              </w:rPr>
            </w:pPr>
            <w:r w:rsidRPr="00D62A6E">
              <w:rPr>
                <w:rFonts w:ascii="Tahoma" w:hAnsi="Tahoma" w:cs="Tahoma"/>
                <w:iCs/>
                <w:sz w:val="20"/>
                <w:szCs w:val="20"/>
              </w:rPr>
              <w:t>a1) venituri din servicii de terminare apeluri de voce</w:t>
            </w:r>
          </w:p>
        </w:tc>
        <w:tc>
          <w:tcPr>
            <w:tcW w:w="3240" w:type="dxa"/>
            <w:shd w:val="clear" w:color="auto" w:fill="auto"/>
          </w:tcPr>
          <w:p w:rsidR="00A20DBA" w:rsidRPr="00D62A6E" w:rsidRDefault="00A20DBA" w:rsidP="006942D8">
            <w:pPr>
              <w:jc w:val="center"/>
              <w:rPr>
                <w:rFonts w:ascii="Tahoma" w:hAnsi="Tahoma"/>
                <w:sz w:val="20"/>
              </w:rPr>
            </w:pPr>
          </w:p>
        </w:tc>
        <w:tc>
          <w:tcPr>
            <w:tcW w:w="2880" w:type="dxa"/>
            <w:shd w:val="clear" w:color="auto" w:fill="auto"/>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shd w:val="clear" w:color="auto" w:fill="auto"/>
          </w:tcPr>
          <w:p w:rsidR="00A20DBA" w:rsidRPr="00D62A6E" w:rsidRDefault="00A20DBA" w:rsidP="006942D8">
            <w:pPr>
              <w:jc w:val="both"/>
              <w:rPr>
                <w:rFonts w:ascii="Tahoma" w:hAnsi="Tahoma"/>
                <w:sz w:val="20"/>
              </w:rPr>
            </w:pPr>
            <w:r w:rsidRPr="00D62A6E">
              <w:rPr>
                <w:rFonts w:ascii="Tahoma" w:hAnsi="Tahoma"/>
                <w:sz w:val="20"/>
              </w:rPr>
              <w:t>i1501b</w:t>
            </w:r>
          </w:p>
        </w:tc>
        <w:tc>
          <w:tcPr>
            <w:tcW w:w="7740" w:type="dxa"/>
            <w:shd w:val="clear" w:color="auto" w:fill="auto"/>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lang w:val="it-IT"/>
              </w:rPr>
              <w:t>b) venituri din furnizarea de rețele publice mobile terestre</w:t>
            </w:r>
            <w:r w:rsidRPr="00D62A6E">
              <w:rPr>
                <w:rFonts w:ascii="Tahoma" w:hAnsi="Tahoma" w:cs="Tahoma"/>
                <w:iCs/>
                <w:sz w:val="20"/>
                <w:szCs w:val="20"/>
              </w:rPr>
              <w:t>, din care:</w:t>
            </w:r>
          </w:p>
        </w:tc>
        <w:tc>
          <w:tcPr>
            <w:tcW w:w="3240" w:type="dxa"/>
            <w:shd w:val="clear" w:color="auto" w:fill="auto"/>
          </w:tcPr>
          <w:p w:rsidR="00A20DBA" w:rsidRPr="00D62A6E" w:rsidRDefault="00A20DBA" w:rsidP="006942D8">
            <w:pPr>
              <w:jc w:val="center"/>
              <w:rPr>
                <w:rFonts w:ascii="Tahoma" w:hAnsi="Tahoma"/>
                <w:sz w:val="20"/>
              </w:rPr>
            </w:pPr>
          </w:p>
        </w:tc>
        <w:tc>
          <w:tcPr>
            <w:tcW w:w="2880" w:type="dxa"/>
            <w:shd w:val="clear" w:color="auto" w:fill="auto"/>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shd w:val="clear" w:color="auto" w:fill="auto"/>
          </w:tcPr>
          <w:p w:rsidR="00A20DBA" w:rsidRPr="00D62A6E" w:rsidRDefault="00A20DBA" w:rsidP="006942D8">
            <w:pPr>
              <w:jc w:val="both"/>
              <w:rPr>
                <w:rFonts w:ascii="Tahoma" w:hAnsi="Tahoma"/>
                <w:sz w:val="20"/>
              </w:rPr>
            </w:pPr>
            <w:r w:rsidRPr="00D62A6E">
              <w:rPr>
                <w:rFonts w:ascii="Tahoma" w:hAnsi="Tahoma"/>
                <w:sz w:val="20"/>
              </w:rPr>
              <w:t>i1501b1</w:t>
            </w:r>
          </w:p>
        </w:tc>
        <w:tc>
          <w:tcPr>
            <w:tcW w:w="7740" w:type="dxa"/>
            <w:shd w:val="clear" w:color="auto" w:fill="auto"/>
            <w:vAlign w:val="center"/>
          </w:tcPr>
          <w:p w:rsidR="00A20DBA" w:rsidRPr="00D62A6E" w:rsidRDefault="00A20DBA" w:rsidP="006942D8">
            <w:pPr>
              <w:jc w:val="both"/>
              <w:rPr>
                <w:rFonts w:ascii="Tahoma" w:hAnsi="Tahoma" w:cs="Tahoma"/>
                <w:iCs/>
                <w:sz w:val="20"/>
                <w:szCs w:val="20"/>
                <w:lang w:val="it-IT"/>
              </w:rPr>
            </w:pPr>
            <w:r w:rsidRPr="00D62A6E">
              <w:rPr>
                <w:rFonts w:ascii="Tahoma" w:hAnsi="Tahoma" w:cs="Tahoma"/>
                <w:iCs/>
                <w:sz w:val="20"/>
                <w:szCs w:val="20"/>
                <w:lang w:val="it-IT"/>
              </w:rPr>
              <w:t xml:space="preserve">b1) venituri din </w:t>
            </w:r>
            <w:r w:rsidRPr="00D62A6E">
              <w:rPr>
                <w:rFonts w:ascii="Tahoma" w:hAnsi="Tahoma" w:cs="Tahoma"/>
                <w:iCs/>
                <w:sz w:val="20"/>
                <w:szCs w:val="20"/>
              </w:rPr>
              <w:t>servicii de terminare apeluri de voce</w:t>
            </w:r>
          </w:p>
        </w:tc>
        <w:tc>
          <w:tcPr>
            <w:tcW w:w="3240" w:type="dxa"/>
            <w:shd w:val="clear" w:color="auto" w:fill="auto"/>
          </w:tcPr>
          <w:p w:rsidR="00A20DBA" w:rsidRPr="00D62A6E" w:rsidRDefault="00A20DBA" w:rsidP="006942D8">
            <w:pPr>
              <w:jc w:val="center"/>
              <w:rPr>
                <w:rFonts w:ascii="Tahoma" w:hAnsi="Tahoma"/>
                <w:sz w:val="20"/>
              </w:rPr>
            </w:pPr>
          </w:p>
        </w:tc>
        <w:tc>
          <w:tcPr>
            <w:tcW w:w="2880" w:type="dxa"/>
            <w:shd w:val="clear" w:color="auto" w:fill="auto"/>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i1501c</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c) venituri din servicii de telefonie</w:t>
            </w:r>
            <w:r w:rsidRPr="00D62A6E">
              <w:rPr>
                <w:rFonts w:ascii="Tahoma" w:hAnsi="Tahoma" w:cs="Tahoma"/>
                <w:sz w:val="20"/>
                <w:szCs w:val="20"/>
              </w:rPr>
              <w:t xml:space="preserve"> furnizate prin intermediul rețelelor publice terestre cu acces la puncte fixe sau cu mobilitate limitat</w:t>
            </w:r>
            <w:r>
              <w:rPr>
                <w:rFonts w:ascii="Tahoma" w:hAnsi="Tahoma" w:cs="Tahoma"/>
                <w:sz w:val="20"/>
                <w:szCs w:val="20"/>
              </w:rPr>
              <w:t>ă</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i1501d</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 xml:space="preserve">d) venituri din servicii de </w:t>
            </w:r>
            <w:r w:rsidRPr="00D62A6E">
              <w:rPr>
                <w:rFonts w:ascii="Tahoma" w:hAnsi="Tahoma" w:cs="Tahoma"/>
                <w:sz w:val="20"/>
                <w:szCs w:val="20"/>
              </w:rPr>
              <w:t>telefonie furnizate prin intermediul rețelelor radio mobile celulare publice</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i1501e</w:t>
            </w:r>
          </w:p>
        </w:tc>
        <w:tc>
          <w:tcPr>
            <w:tcW w:w="7740" w:type="dxa"/>
            <w:vAlign w:val="center"/>
          </w:tcPr>
          <w:p w:rsidR="00A20DBA" w:rsidRPr="00D62A6E" w:rsidRDefault="00A20DBA" w:rsidP="006942D8">
            <w:pPr>
              <w:jc w:val="both"/>
              <w:rPr>
                <w:rFonts w:ascii="Tahoma" w:hAnsi="Tahoma" w:cs="Tahoma"/>
                <w:iCs/>
                <w:sz w:val="20"/>
                <w:szCs w:val="20"/>
              </w:rPr>
            </w:pPr>
            <w:r w:rsidRPr="00D62A6E">
              <w:rPr>
                <w:rFonts w:ascii="Tahoma" w:hAnsi="Tahoma" w:cs="Tahoma"/>
                <w:iCs/>
                <w:sz w:val="20"/>
                <w:szCs w:val="20"/>
              </w:rPr>
              <w:t>e) venituri din furnizarea de servicii cu valoare ad</w:t>
            </w:r>
            <w:r>
              <w:rPr>
                <w:rFonts w:ascii="Tahoma" w:hAnsi="Tahoma" w:cs="Tahoma"/>
                <w:iCs/>
                <w:sz w:val="20"/>
                <w:szCs w:val="20"/>
              </w:rPr>
              <w:t>ă</w:t>
            </w:r>
            <w:r w:rsidRPr="00D62A6E">
              <w:rPr>
                <w:rFonts w:ascii="Tahoma" w:hAnsi="Tahoma" w:cs="Tahoma"/>
                <w:iCs/>
                <w:sz w:val="20"/>
                <w:szCs w:val="20"/>
              </w:rPr>
              <w:t>ugat</w:t>
            </w:r>
            <w:r>
              <w:rPr>
                <w:rFonts w:ascii="Tahoma" w:hAnsi="Tahoma" w:cs="Tahoma"/>
                <w:iCs/>
                <w:sz w:val="20"/>
                <w:szCs w:val="20"/>
              </w:rPr>
              <w:t>ă</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i1501f</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lang w:val="it-IT"/>
              </w:rPr>
              <w:t xml:space="preserve">f) venituri din furnizarea de servicii de linii </w:t>
            </w:r>
            <w:r>
              <w:rPr>
                <w:rFonts w:ascii="Tahoma" w:hAnsi="Tahoma" w:cs="Tahoma"/>
                <w:iCs/>
                <w:sz w:val="20"/>
                <w:szCs w:val="20"/>
                <w:lang w:val="it-IT"/>
              </w:rPr>
              <w:t>î</w:t>
            </w:r>
            <w:r w:rsidRPr="00D62A6E">
              <w:rPr>
                <w:rFonts w:ascii="Tahoma" w:hAnsi="Tahoma" w:cs="Tahoma"/>
                <w:iCs/>
                <w:sz w:val="20"/>
                <w:szCs w:val="20"/>
                <w:lang w:val="it-IT"/>
              </w:rPr>
              <w:t>nchiriate</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i1501g</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g) venituri din furnizarea de servicii de acces la internet</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i1501h</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h) venituri din furnizarea de servicii de transmisiuni de date</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i1501i</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 xml:space="preserve">i) venituri din furnizarea de servicii de </w:t>
            </w:r>
            <w:r w:rsidRPr="00D62A6E">
              <w:rPr>
                <w:rFonts w:ascii="Tahoma" w:hAnsi="Tahoma" w:cs="Tahoma"/>
                <w:sz w:val="20"/>
                <w:szCs w:val="20"/>
              </w:rPr>
              <w:t>retransmisie a programelor media audiovizuale liniare c</w:t>
            </w:r>
            <w:r>
              <w:rPr>
                <w:rFonts w:ascii="Tahoma" w:hAnsi="Tahoma" w:cs="Tahoma"/>
                <w:sz w:val="20"/>
                <w:szCs w:val="20"/>
              </w:rPr>
              <w:t>ă</w:t>
            </w:r>
            <w:r w:rsidRPr="00D62A6E">
              <w:rPr>
                <w:rFonts w:ascii="Tahoma" w:hAnsi="Tahoma" w:cs="Tahoma"/>
                <w:sz w:val="20"/>
                <w:szCs w:val="20"/>
              </w:rPr>
              <w:t>tre utilizatorii finali</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r w:rsidR="00A20DBA" w:rsidRPr="00D62A6E" w:rsidTr="006942D8">
        <w:tblPrEx>
          <w:tblCellMar>
            <w:top w:w="0" w:type="dxa"/>
            <w:bottom w:w="0" w:type="dxa"/>
          </w:tblCellMar>
        </w:tblPrEx>
        <w:tc>
          <w:tcPr>
            <w:tcW w:w="1008" w:type="dxa"/>
          </w:tcPr>
          <w:p w:rsidR="00A20DBA" w:rsidRPr="00D62A6E" w:rsidRDefault="00A20DBA" w:rsidP="006942D8">
            <w:pPr>
              <w:jc w:val="both"/>
              <w:rPr>
                <w:rFonts w:ascii="Tahoma" w:hAnsi="Tahoma"/>
                <w:sz w:val="20"/>
              </w:rPr>
            </w:pPr>
            <w:r w:rsidRPr="00D62A6E">
              <w:rPr>
                <w:rFonts w:ascii="Tahoma" w:hAnsi="Tahoma"/>
                <w:sz w:val="20"/>
              </w:rPr>
              <w:t>i1501j</w:t>
            </w:r>
          </w:p>
        </w:tc>
        <w:tc>
          <w:tcPr>
            <w:tcW w:w="7740" w:type="dxa"/>
            <w:vAlign w:val="center"/>
          </w:tcPr>
          <w:p w:rsidR="00A20DBA" w:rsidRPr="00D62A6E" w:rsidRDefault="00A20DBA" w:rsidP="006942D8">
            <w:pPr>
              <w:jc w:val="both"/>
              <w:rPr>
                <w:rFonts w:ascii="Tahoma" w:hAnsi="Tahoma"/>
                <w:sz w:val="20"/>
                <w:szCs w:val="20"/>
              </w:rPr>
            </w:pPr>
            <w:r w:rsidRPr="00D62A6E">
              <w:rPr>
                <w:rFonts w:ascii="Tahoma" w:hAnsi="Tahoma" w:cs="Tahoma"/>
                <w:iCs/>
                <w:sz w:val="20"/>
                <w:szCs w:val="20"/>
              </w:rPr>
              <w:t>j) venituri din furnizarea altor tipuri de rețele și/sau servicii de comunicații electronice (specifica</w:t>
            </w:r>
            <w:r>
              <w:rPr>
                <w:rFonts w:ascii="Tahoma" w:hAnsi="Tahoma" w:cs="Tahoma"/>
                <w:iCs/>
                <w:sz w:val="20"/>
                <w:szCs w:val="20"/>
              </w:rPr>
              <w:t>ț</w:t>
            </w:r>
            <w:r w:rsidRPr="00D62A6E">
              <w:rPr>
                <w:rFonts w:ascii="Tahoma" w:hAnsi="Tahoma" w:cs="Tahoma"/>
                <w:iCs/>
                <w:sz w:val="20"/>
                <w:szCs w:val="20"/>
              </w:rPr>
              <w:t>i care)</w:t>
            </w:r>
          </w:p>
        </w:tc>
        <w:tc>
          <w:tcPr>
            <w:tcW w:w="3240" w:type="dxa"/>
          </w:tcPr>
          <w:p w:rsidR="00A20DBA" w:rsidRPr="00D62A6E" w:rsidRDefault="00A20DBA" w:rsidP="006942D8">
            <w:pPr>
              <w:jc w:val="center"/>
              <w:rPr>
                <w:rFonts w:ascii="Tahoma" w:hAnsi="Tahoma"/>
                <w:sz w:val="20"/>
              </w:rPr>
            </w:pPr>
          </w:p>
        </w:tc>
        <w:tc>
          <w:tcPr>
            <w:tcW w:w="2880" w:type="dxa"/>
          </w:tcPr>
          <w:p w:rsidR="00A20DBA" w:rsidRPr="00D62A6E" w:rsidRDefault="00A20DBA" w:rsidP="006942D8">
            <w:pPr>
              <w:jc w:val="center"/>
              <w:rPr>
                <w:rFonts w:ascii="Tahoma" w:hAnsi="Tahoma"/>
                <w:sz w:val="20"/>
              </w:rPr>
            </w:pPr>
          </w:p>
        </w:tc>
      </w:tr>
    </w:tbl>
    <w:p w:rsidR="00A20DBA" w:rsidRPr="00D62A6E" w:rsidRDefault="00A20DBA" w:rsidP="00A20DBA">
      <w:pPr>
        <w:rPr>
          <w:rFonts w:ascii="Tahoma" w:hAnsi="Tahoma" w:cs="Tahoma"/>
          <w:sz w:val="16"/>
          <w:szCs w:val="16"/>
        </w:rPr>
      </w:pPr>
    </w:p>
    <w:p w:rsidR="00A20DBA" w:rsidRPr="00D62A6E" w:rsidRDefault="00A20DBA" w:rsidP="00A20DBA">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A20DBA" w:rsidRPr="00D62A6E" w:rsidRDefault="00A20DBA" w:rsidP="00A20DBA">
      <w:pPr>
        <w:pStyle w:val="BodyText"/>
        <w:spacing w:after="0"/>
        <w:ind w:firstLine="720"/>
        <w:jc w:val="both"/>
        <w:rPr>
          <w:rFonts w:ascii="Tahoma" w:hAnsi="Tahoma" w:cs="Tahoma"/>
          <w:sz w:val="20"/>
          <w:szCs w:val="20"/>
        </w:rPr>
      </w:pPr>
      <w:r w:rsidRPr="00D62A6E">
        <w:rPr>
          <w:rFonts w:ascii="Tahoma" w:hAnsi="Tahoma" w:cs="Tahoma"/>
          <w:sz w:val="20"/>
          <w:szCs w:val="20"/>
        </w:rPr>
        <w:t xml:space="preserve">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de raportare,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i1501a – se vor raporta veniturile aferente rețelelor și/sau serviciilor specificate la i206</w:t>
      </w:r>
      <w:r>
        <w:rPr>
          <w:rFonts w:ascii="Tahoma" w:hAnsi="Tahoma" w:cs="Tahoma"/>
          <w:sz w:val="20"/>
          <w:szCs w:val="20"/>
        </w:rPr>
        <w:t>, i208</w:t>
      </w:r>
      <w:r w:rsidRPr="00D62A6E">
        <w:rPr>
          <w:rFonts w:ascii="Tahoma" w:hAnsi="Tahoma" w:cs="Tahoma"/>
          <w:sz w:val="20"/>
          <w:szCs w:val="20"/>
        </w:rPr>
        <w:t xml:space="preserve"> </w:t>
      </w:r>
      <w:r>
        <w:rPr>
          <w:rFonts w:ascii="Arial" w:hAnsi="Arial" w:cs="Arial"/>
          <w:sz w:val="20"/>
          <w:szCs w:val="20"/>
        </w:rPr>
        <w:t>ș</w:t>
      </w:r>
      <w:r w:rsidRPr="00D62A6E">
        <w:rPr>
          <w:rFonts w:ascii="Tahoma" w:hAnsi="Tahoma" w:cs="Tahoma"/>
          <w:sz w:val="20"/>
          <w:szCs w:val="20"/>
        </w:rPr>
        <w:t>i i371-i378.</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i1501a1 – se vor raporta veniturile aferente rețelelor și/sau serviciilor specificate la i373.</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i1501b – se vor raporta veniturile aferente rețelelor și/sau serviciilor specificate la i5311-i5317, i5321-i5324 </w:t>
      </w:r>
      <w:r>
        <w:rPr>
          <w:rFonts w:ascii="Tahoma" w:hAnsi="Tahoma" w:cs="Tahoma"/>
          <w:sz w:val="20"/>
          <w:szCs w:val="20"/>
        </w:rPr>
        <w:t>ș</w:t>
      </w:r>
      <w:r w:rsidRPr="00D62A6E">
        <w:rPr>
          <w:rFonts w:ascii="Tahoma" w:hAnsi="Tahoma" w:cs="Tahoma"/>
          <w:sz w:val="20"/>
          <w:szCs w:val="20"/>
        </w:rPr>
        <w:t>i i5331-i5334.</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i1501b1 – se vor raporta veniturile aferente rețelelor și/sau serviciilor specificate la i5312.</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i1501c – se vor raporta veniturile aferente rețelelor și/sau serviciilor specificate la i311-i319, i321-i325, i331-i335, i341-i345, i351-i354 </w:t>
      </w:r>
      <w:r>
        <w:rPr>
          <w:rFonts w:ascii="Tahoma" w:hAnsi="Tahoma" w:cs="Tahoma"/>
          <w:sz w:val="20"/>
          <w:szCs w:val="20"/>
        </w:rPr>
        <w:t>ș</w:t>
      </w:r>
      <w:r w:rsidRPr="00D62A6E">
        <w:rPr>
          <w:rFonts w:ascii="Tahoma" w:hAnsi="Tahoma" w:cs="Tahoma"/>
          <w:sz w:val="20"/>
          <w:szCs w:val="20"/>
        </w:rPr>
        <w:t>i i361-i365.</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i1501d – se vor raporta veniturile aferente rețelelor și/sau serviciilor specificate la i511-i512, i5211-i5215, i5221-i5223, i5231-i5235 </w:t>
      </w:r>
      <w:r>
        <w:rPr>
          <w:rFonts w:ascii="Tahoma" w:hAnsi="Tahoma" w:cs="Tahoma"/>
          <w:sz w:val="20"/>
          <w:szCs w:val="20"/>
        </w:rPr>
        <w:t>ș</w:t>
      </w:r>
      <w:r w:rsidRPr="00D62A6E">
        <w:rPr>
          <w:rFonts w:ascii="Tahoma" w:hAnsi="Tahoma" w:cs="Tahoma"/>
          <w:sz w:val="20"/>
          <w:szCs w:val="20"/>
        </w:rPr>
        <w:t>i i5241-i5245.</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i1501e – se vor raporta veniturile aferente rețelelor și/sau serviciilor specificate la </w:t>
      </w:r>
      <w:r w:rsidRPr="001626D5">
        <w:rPr>
          <w:rFonts w:ascii="Tahoma" w:hAnsi="Tahoma" w:cs="Tahoma"/>
          <w:color w:val="000000"/>
          <w:sz w:val="20"/>
          <w:szCs w:val="20"/>
        </w:rPr>
        <w:t xml:space="preserve">i611-i616, i621-i626, i631-i634, i641a, i642a </w:t>
      </w:r>
      <w:r>
        <w:rPr>
          <w:rFonts w:ascii="Tahoma" w:hAnsi="Tahoma" w:cs="Tahoma"/>
          <w:color w:val="000000"/>
          <w:sz w:val="20"/>
          <w:szCs w:val="20"/>
        </w:rPr>
        <w:t>ș</w:t>
      </w:r>
      <w:r w:rsidRPr="001626D5">
        <w:rPr>
          <w:rFonts w:ascii="Tahoma" w:hAnsi="Tahoma" w:cs="Tahoma"/>
          <w:color w:val="000000"/>
          <w:sz w:val="20"/>
          <w:szCs w:val="20"/>
        </w:rPr>
        <w:t>i i651-i654</w:t>
      </w:r>
      <w:r>
        <w:rPr>
          <w:rFonts w:ascii="Tahoma" w:hAnsi="Tahoma" w:cs="Tahoma"/>
          <w:color w:val="000000"/>
          <w:sz w:val="20"/>
          <w:szCs w:val="20"/>
        </w:rPr>
        <w:t>.</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i1501f – se vor raporta veniturile aferente rețelelor și/sau serviciilor specificate la i711, i721 </w:t>
      </w:r>
      <w:r>
        <w:rPr>
          <w:rFonts w:ascii="Tahoma" w:hAnsi="Tahoma" w:cs="Tahoma"/>
          <w:sz w:val="20"/>
          <w:szCs w:val="20"/>
        </w:rPr>
        <w:t>ș</w:t>
      </w:r>
      <w:r w:rsidRPr="00D62A6E">
        <w:rPr>
          <w:rFonts w:ascii="Tahoma" w:hAnsi="Tahoma" w:cs="Tahoma"/>
          <w:sz w:val="20"/>
          <w:szCs w:val="20"/>
        </w:rPr>
        <w:t>i i723.</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i1501g – se vor raporta veniturile aferente rețelelor și/sau serviciilor specificate la i871 </w:t>
      </w:r>
      <w:r>
        <w:rPr>
          <w:rFonts w:ascii="Tahoma" w:hAnsi="Tahoma" w:cs="Tahoma"/>
          <w:sz w:val="20"/>
          <w:szCs w:val="20"/>
        </w:rPr>
        <w:t>ș</w:t>
      </w:r>
      <w:r w:rsidRPr="00D62A6E">
        <w:rPr>
          <w:rFonts w:ascii="Tahoma" w:hAnsi="Tahoma" w:cs="Tahoma"/>
          <w:sz w:val="20"/>
          <w:szCs w:val="20"/>
        </w:rPr>
        <w:t>i i872.</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i1501h – se vor raporta veniturile aferente rețelelor și/sau serviciilor specificate la i941 </w:t>
      </w:r>
      <w:r>
        <w:rPr>
          <w:rFonts w:ascii="Tahoma" w:hAnsi="Tahoma" w:cs="Tahoma"/>
          <w:sz w:val="20"/>
          <w:szCs w:val="20"/>
        </w:rPr>
        <w:t>ș</w:t>
      </w:r>
      <w:r w:rsidRPr="00D62A6E">
        <w:rPr>
          <w:rFonts w:ascii="Tahoma" w:hAnsi="Tahoma" w:cs="Tahoma"/>
          <w:sz w:val="20"/>
          <w:szCs w:val="20"/>
        </w:rPr>
        <w:t>i i942.</w:t>
      </w:r>
    </w:p>
    <w:p w:rsidR="00A20DBA" w:rsidRPr="00D62A6E" w:rsidRDefault="00A20DBA" w:rsidP="00A20DBA">
      <w:pPr>
        <w:ind w:firstLine="720"/>
        <w:rPr>
          <w:rFonts w:ascii="Tahoma" w:hAnsi="Tahoma" w:cs="Tahoma"/>
          <w:sz w:val="20"/>
          <w:szCs w:val="20"/>
        </w:rPr>
      </w:pPr>
      <w:r w:rsidRPr="00D62A6E">
        <w:rPr>
          <w:rFonts w:ascii="Tahoma" w:hAnsi="Tahoma" w:cs="Tahoma"/>
          <w:sz w:val="20"/>
          <w:szCs w:val="20"/>
        </w:rPr>
        <w:t xml:space="preserve">i1501i – se vor raporta veniturile aferente rețelelor și/sau serviciilor specificate la i1011 </w:t>
      </w:r>
      <w:r>
        <w:rPr>
          <w:rFonts w:ascii="Tahoma" w:hAnsi="Tahoma" w:cs="Tahoma"/>
          <w:sz w:val="20"/>
          <w:szCs w:val="20"/>
        </w:rPr>
        <w:t>ș</w:t>
      </w:r>
      <w:r w:rsidRPr="00D62A6E">
        <w:rPr>
          <w:rFonts w:ascii="Tahoma" w:hAnsi="Tahoma" w:cs="Tahoma"/>
          <w:sz w:val="20"/>
          <w:szCs w:val="20"/>
        </w:rPr>
        <w:t>i i1012.</w:t>
      </w:r>
    </w:p>
    <w:p w:rsidR="00A20DBA" w:rsidRDefault="00A20DBA" w:rsidP="00A20DBA">
      <w:pPr>
        <w:ind w:firstLine="720"/>
        <w:rPr>
          <w:rFonts w:ascii="Tahoma" w:hAnsi="Tahoma" w:cs="Tahoma"/>
          <w:sz w:val="20"/>
          <w:szCs w:val="20"/>
        </w:rPr>
      </w:pPr>
      <w:r w:rsidRPr="00D62A6E">
        <w:rPr>
          <w:rFonts w:ascii="Tahoma" w:hAnsi="Tahoma" w:cs="Tahoma"/>
          <w:sz w:val="20"/>
          <w:szCs w:val="20"/>
        </w:rPr>
        <w:t xml:space="preserve">i1501j – se vor raporta veniturile aferente rețelelor și/sau serviciilor specificate la i1141 </w:t>
      </w:r>
      <w:r>
        <w:rPr>
          <w:rFonts w:ascii="Tahoma" w:hAnsi="Tahoma" w:cs="Tahoma"/>
          <w:sz w:val="20"/>
          <w:szCs w:val="20"/>
        </w:rPr>
        <w:t>ș</w:t>
      </w:r>
      <w:r w:rsidRPr="00D62A6E">
        <w:rPr>
          <w:rFonts w:ascii="Tahoma" w:hAnsi="Tahoma" w:cs="Tahoma"/>
          <w:sz w:val="20"/>
          <w:szCs w:val="20"/>
        </w:rPr>
        <w:t>i i1301.</w:t>
      </w:r>
    </w:p>
    <w:p w:rsidR="00A20DBA" w:rsidRPr="00644A6C" w:rsidRDefault="00A20DBA" w:rsidP="00A20DBA">
      <w:pPr>
        <w:jc w:val="both"/>
        <w:rPr>
          <w:rFonts w:ascii="Tahoma" w:hAnsi="Tahoma"/>
        </w:rPr>
      </w:pPr>
    </w:p>
    <w:p w:rsidR="00354664" w:rsidRPr="00A20DBA" w:rsidRDefault="00354664" w:rsidP="00A20DBA">
      <w:bookmarkStart w:id="0" w:name="_GoBack"/>
      <w:bookmarkEnd w:id="0"/>
    </w:p>
    <w:sectPr w:rsidR="00354664" w:rsidRPr="00A20DBA" w:rsidSect="0014661D">
      <w:pgSz w:w="16840" w:h="11907" w:orient="landscape" w:code="9"/>
      <w:pgMar w:top="567" w:right="567" w:bottom="567" w:left="567"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459D0"/>
    <w:rsid w:val="00354664"/>
    <w:rsid w:val="003F2544"/>
    <w:rsid w:val="00405B3A"/>
    <w:rsid w:val="004C5C2D"/>
    <w:rsid w:val="004F6F55"/>
    <w:rsid w:val="00604955"/>
    <w:rsid w:val="006629B6"/>
    <w:rsid w:val="008A1599"/>
    <w:rsid w:val="008A3609"/>
    <w:rsid w:val="008D0781"/>
    <w:rsid w:val="00A20DBA"/>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F5BA-6409-437F-831C-8482E70E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2013-09-23T11:09:00Z</dcterms:created>
  <dcterms:modified xsi:type="dcterms:W3CDTF">2013-09-23T11:09:00Z</dcterms:modified>
</cp:coreProperties>
</file>