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AA2" w:rsidRDefault="00FB4AA2" w:rsidP="00FB4AA2">
      <w:pPr>
        <w:jc w:val="right"/>
        <w:rPr>
          <w:rFonts w:ascii="Arial" w:eastAsiaTheme="minorHAnsi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eastAsiaTheme="minorHAnsi" w:hAnsi="Arial" w:cs="Arial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2540</wp:posOffset>
            </wp:positionV>
            <wp:extent cx="1405255" cy="1112520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11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Theme="minorHAnsi" w:hAnsi="Arial" w:cs="Arial"/>
          <w:b/>
          <w:noProof/>
          <w:sz w:val="22"/>
          <w:szCs w:val="22"/>
        </w:rPr>
        <w:drawing>
          <wp:inline distT="0" distB="0" distL="0" distR="0" wp14:anchorId="1E74A4D1">
            <wp:extent cx="1812303" cy="114426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594" cy="1150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Theme="minorHAnsi" w:hAnsi="Arial" w:cs="Arial"/>
          <w:b/>
          <w:sz w:val="22"/>
          <w:szCs w:val="22"/>
        </w:rPr>
        <w:br w:type="textWrapping" w:clear="all"/>
      </w:r>
    </w:p>
    <w:p w:rsidR="00FB4AA2" w:rsidRDefault="00FB4AA2" w:rsidP="00824FD1">
      <w:pPr>
        <w:jc w:val="center"/>
        <w:rPr>
          <w:rFonts w:ascii="Arial" w:eastAsiaTheme="minorHAnsi" w:hAnsi="Arial" w:cs="Arial"/>
          <w:b/>
          <w:sz w:val="22"/>
          <w:szCs w:val="22"/>
        </w:rPr>
      </w:pPr>
    </w:p>
    <w:p w:rsidR="00824FD1" w:rsidRPr="00824FD1" w:rsidRDefault="00824FD1" w:rsidP="00824FD1">
      <w:pPr>
        <w:jc w:val="center"/>
        <w:rPr>
          <w:rFonts w:ascii="Arial" w:eastAsiaTheme="minorHAnsi" w:hAnsi="Arial" w:cs="Arial"/>
          <w:b/>
          <w:sz w:val="22"/>
          <w:szCs w:val="22"/>
        </w:rPr>
      </w:pPr>
      <w:r w:rsidRPr="00824FD1">
        <w:rPr>
          <w:rFonts w:ascii="Arial" w:eastAsiaTheme="minorHAnsi" w:hAnsi="Arial" w:cs="Arial"/>
          <w:b/>
          <w:sz w:val="22"/>
          <w:szCs w:val="22"/>
        </w:rPr>
        <w:t xml:space="preserve">ERGP Stakeholders Workshop </w:t>
      </w:r>
    </w:p>
    <w:p w:rsidR="00824FD1" w:rsidRPr="00824FD1" w:rsidRDefault="00824FD1" w:rsidP="00824FD1">
      <w:pPr>
        <w:jc w:val="center"/>
        <w:rPr>
          <w:rFonts w:ascii="Arial" w:eastAsiaTheme="minorHAnsi" w:hAnsi="Arial" w:cs="Arial"/>
          <w:b/>
          <w:sz w:val="22"/>
          <w:szCs w:val="22"/>
        </w:rPr>
      </w:pPr>
      <w:proofErr w:type="gramStart"/>
      <w:r w:rsidRPr="00824FD1">
        <w:rPr>
          <w:rFonts w:ascii="Arial" w:eastAsiaTheme="minorHAnsi" w:hAnsi="Arial" w:cs="Arial"/>
          <w:b/>
          <w:sz w:val="22"/>
          <w:szCs w:val="22"/>
        </w:rPr>
        <w:t>on</w:t>
      </w:r>
      <w:proofErr w:type="gramEnd"/>
      <w:r w:rsidRPr="00824FD1">
        <w:rPr>
          <w:rFonts w:ascii="Arial" w:eastAsiaTheme="minorHAnsi" w:hAnsi="Arial" w:cs="Arial"/>
          <w:b/>
          <w:sz w:val="22"/>
          <w:szCs w:val="22"/>
        </w:rPr>
        <w:t xml:space="preserve"> the </w:t>
      </w:r>
    </w:p>
    <w:p w:rsidR="00824FD1" w:rsidRPr="00824FD1" w:rsidRDefault="00824FD1" w:rsidP="00824FD1">
      <w:pPr>
        <w:jc w:val="center"/>
        <w:rPr>
          <w:rFonts w:ascii="Arial" w:eastAsiaTheme="minorHAnsi" w:hAnsi="Arial" w:cs="Arial"/>
          <w:b/>
          <w:sz w:val="22"/>
          <w:szCs w:val="22"/>
        </w:rPr>
      </w:pPr>
      <w:r w:rsidRPr="00824FD1">
        <w:rPr>
          <w:rFonts w:ascii="Arial" w:eastAsiaTheme="minorHAnsi" w:hAnsi="Arial" w:cs="Arial"/>
          <w:b/>
          <w:sz w:val="22"/>
          <w:szCs w:val="22"/>
        </w:rPr>
        <w:t xml:space="preserve">Implementation of the Universal Service Obligation in the postal sector </w:t>
      </w:r>
    </w:p>
    <w:p w:rsidR="00824FD1" w:rsidRDefault="00824FD1" w:rsidP="00FB4AA2">
      <w:pPr>
        <w:spacing w:after="120"/>
        <w:jc w:val="center"/>
        <w:rPr>
          <w:rFonts w:ascii="Arial" w:eastAsiaTheme="minorHAnsi" w:hAnsi="Arial" w:cs="Arial"/>
          <w:b/>
          <w:i/>
          <w:sz w:val="22"/>
          <w:szCs w:val="22"/>
        </w:rPr>
      </w:pPr>
      <w:proofErr w:type="gramStart"/>
      <w:r w:rsidRPr="00824FD1">
        <w:rPr>
          <w:rFonts w:ascii="Arial" w:eastAsiaTheme="minorHAnsi" w:hAnsi="Arial" w:cs="Arial"/>
          <w:b/>
          <w:sz w:val="22"/>
          <w:szCs w:val="22"/>
        </w:rPr>
        <w:t>in</w:t>
      </w:r>
      <w:proofErr w:type="gramEnd"/>
      <w:r w:rsidRPr="00824FD1">
        <w:rPr>
          <w:rFonts w:ascii="Arial" w:eastAsiaTheme="minorHAnsi" w:hAnsi="Arial" w:cs="Arial"/>
          <w:b/>
          <w:sz w:val="22"/>
          <w:szCs w:val="22"/>
        </w:rPr>
        <w:t xml:space="preserve"> view of the market developments</w:t>
      </w:r>
    </w:p>
    <w:p w:rsidR="00824FD1" w:rsidRPr="00824FD1" w:rsidRDefault="00FB4AA2" w:rsidP="00FB4AA2">
      <w:pPr>
        <w:spacing w:after="120"/>
        <w:jc w:val="center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19 November 2014, </w:t>
      </w:r>
      <w:proofErr w:type="spellStart"/>
      <w:r w:rsidRPr="00FB4AA2">
        <w:rPr>
          <w:rFonts w:ascii="Arial" w:eastAsiaTheme="minorHAnsi" w:hAnsi="Arial" w:cs="Arial"/>
          <w:sz w:val="22"/>
          <w:szCs w:val="22"/>
        </w:rPr>
        <w:t>Athénée</w:t>
      </w:r>
      <w:proofErr w:type="spellEnd"/>
      <w:r w:rsidRPr="00FB4AA2">
        <w:rPr>
          <w:rFonts w:ascii="Arial" w:eastAsiaTheme="minorHAnsi" w:hAnsi="Arial" w:cs="Arial"/>
          <w:sz w:val="22"/>
          <w:szCs w:val="22"/>
        </w:rPr>
        <w:t xml:space="preserve"> Palace Hilton Bucharest</w:t>
      </w:r>
    </w:p>
    <w:p w:rsidR="00824FD1" w:rsidRDefault="00824FD1"/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4895"/>
        <w:gridCol w:w="4950"/>
      </w:tblGrid>
      <w:tr w:rsidR="00824FD1" w:rsidRPr="003D1BE5" w:rsidTr="00E55EB1">
        <w:trPr>
          <w:jc w:val="center"/>
        </w:trPr>
        <w:tc>
          <w:tcPr>
            <w:tcW w:w="149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D1" w:rsidRPr="003D1BE5" w:rsidRDefault="00824FD1" w:rsidP="00E55EB1">
            <w:pPr>
              <w:spacing w:line="192" w:lineRule="auto"/>
              <w:ind w:right="-291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D1BE5">
              <w:rPr>
                <w:rFonts w:ascii="Arial" w:hAnsi="Arial" w:cs="Arial"/>
                <w:b/>
                <w:sz w:val="18"/>
                <w:szCs w:val="18"/>
                <w:lang w:val="en-GB"/>
              </w:rPr>
              <w:t>Time</w:t>
            </w:r>
          </w:p>
        </w:tc>
        <w:tc>
          <w:tcPr>
            <w:tcW w:w="489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D1" w:rsidRPr="003D1BE5" w:rsidRDefault="00824FD1" w:rsidP="00E55EB1">
            <w:pPr>
              <w:spacing w:line="192" w:lineRule="auto"/>
              <w:ind w:right="-291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Programme</w:t>
            </w:r>
          </w:p>
        </w:tc>
        <w:tc>
          <w:tcPr>
            <w:tcW w:w="495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D1" w:rsidRPr="003D1BE5" w:rsidRDefault="00824FD1" w:rsidP="00E55EB1">
            <w:pPr>
              <w:spacing w:line="192" w:lineRule="auto"/>
              <w:ind w:right="-291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Actors</w:t>
            </w:r>
          </w:p>
        </w:tc>
      </w:tr>
      <w:tr w:rsidR="00824FD1" w:rsidRPr="003D1BE5" w:rsidTr="00E55EB1">
        <w:trPr>
          <w:trHeight w:val="567"/>
          <w:jc w:val="center"/>
        </w:trPr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D1" w:rsidRPr="003D1BE5" w:rsidRDefault="00824FD1" w:rsidP="00E55EB1">
            <w:pPr>
              <w:spacing w:line="192" w:lineRule="auto"/>
              <w:ind w:right="-291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13</w:t>
            </w:r>
            <w:r w:rsidRPr="003D1BE5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  <w:r w:rsidRPr="003D1BE5">
              <w:rPr>
                <w:rFonts w:ascii="Arial" w:hAnsi="Arial" w:cs="Arial"/>
                <w:sz w:val="18"/>
                <w:szCs w:val="18"/>
                <w:lang w:val="en-GB"/>
              </w:rPr>
              <w:t>0 – 1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  <w:r w:rsidRPr="003D1BE5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30</w:t>
            </w:r>
          </w:p>
        </w:tc>
        <w:tc>
          <w:tcPr>
            <w:tcW w:w="4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D1" w:rsidRPr="003D1BE5" w:rsidRDefault="00824FD1" w:rsidP="00E55EB1">
            <w:pPr>
              <w:spacing w:line="192" w:lineRule="auto"/>
              <w:ind w:right="-291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Registration</w:t>
            </w:r>
          </w:p>
        </w:tc>
        <w:tc>
          <w:tcPr>
            <w:tcW w:w="4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D1" w:rsidRPr="003D1BE5" w:rsidRDefault="00824FD1" w:rsidP="00E55EB1">
            <w:pPr>
              <w:spacing w:line="192" w:lineRule="auto"/>
              <w:ind w:right="-291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24FD1" w:rsidRPr="003D1BE5" w:rsidTr="00E55EB1">
        <w:trPr>
          <w:trHeight w:val="567"/>
          <w:jc w:val="center"/>
        </w:trPr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D1" w:rsidRPr="003D1BE5" w:rsidRDefault="00824FD1" w:rsidP="00E55EB1">
            <w:pPr>
              <w:spacing w:line="192" w:lineRule="auto"/>
              <w:ind w:right="-291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13</w:t>
            </w:r>
            <w:r w:rsidRPr="003D1BE5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  <w:r w:rsidRPr="003D1BE5">
              <w:rPr>
                <w:rFonts w:ascii="Arial" w:hAnsi="Arial" w:cs="Arial"/>
                <w:sz w:val="18"/>
                <w:szCs w:val="18"/>
                <w:lang w:val="en-GB"/>
              </w:rPr>
              <w:t>0 – 1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  <w:r w:rsidRPr="003D1BE5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35</w:t>
            </w:r>
          </w:p>
        </w:tc>
        <w:tc>
          <w:tcPr>
            <w:tcW w:w="4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D1" w:rsidRPr="003D1BE5" w:rsidRDefault="00824FD1" w:rsidP="00E55EB1">
            <w:pPr>
              <w:spacing w:line="192" w:lineRule="auto"/>
              <w:ind w:right="-291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Welcome and introduction</w:t>
            </w:r>
          </w:p>
        </w:tc>
        <w:tc>
          <w:tcPr>
            <w:tcW w:w="4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D1" w:rsidRPr="003D1BE5" w:rsidRDefault="00824FD1" w:rsidP="00E55EB1">
            <w:pPr>
              <w:spacing w:line="192" w:lineRule="auto"/>
              <w:ind w:right="-291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3D1BE5">
              <w:rPr>
                <w:rFonts w:ascii="Arial" w:hAnsi="Arial" w:cs="Arial"/>
                <w:sz w:val="18"/>
                <w:szCs w:val="18"/>
                <w:lang w:val="en-GB"/>
              </w:rPr>
              <w:t>Cătălin</w:t>
            </w:r>
            <w:proofErr w:type="spellEnd"/>
            <w:r w:rsidRPr="003D1BE5">
              <w:rPr>
                <w:rFonts w:ascii="Arial" w:hAnsi="Arial" w:cs="Arial"/>
                <w:sz w:val="18"/>
                <w:szCs w:val="18"/>
                <w:lang w:val="en-GB"/>
              </w:rPr>
              <w:t xml:space="preserve"> MARINESCU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 ANCOM</w:t>
            </w:r>
          </w:p>
          <w:p w:rsidR="00824FD1" w:rsidRPr="003D1BE5" w:rsidRDefault="00824FD1" w:rsidP="00E55EB1">
            <w:pPr>
              <w:spacing w:line="192" w:lineRule="auto"/>
              <w:ind w:right="-291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D1BE5">
              <w:rPr>
                <w:rFonts w:ascii="Arial" w:hAnsi="Arial" w:cs="Arial"/>
                <w:sz w:val="18"/>
                <w:szCs w:val="18"/>
                <w:lang w:val="en-GB"/>
              </w:rPr>
              <w:t>(ERGP 2014 Chair)</w:t>
            </w:r>
          </w:p>
        </w:tc>
      </w:tr>
      <w:tr w:rsidR="00824FD1" w:rsidRPr="003D1BE5" w:rsidTr="00E55EB1">
        <w:trPr>
          <w:jc w:val="center"/>
        </w:trPr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D1" w:rsidRPr="003D1BE5" w:rsidRDefault="00824FD1" w:rsidP="00E55EB1">
            <w:pPr>
              <w:spacing w:line="192" w:lineRule="auto"/>
              <w:ind w:right="-291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13:35 – 13.45</w:t>
            </w:r>
          </w:p>
        </w:tc>
        <w:tc>
          <w:tcPr>
            <w:tcW w:w="4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D1" w:rsidRPr="003D1BE5" w:rsidRDefault="00824FD1" w:rsidP="00E55EB1">
            <w:pPr>
              <w:spacing w:line="192" w:lineRule="auto"/>
              <w:ind w:right="-291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Presentation of the Discussion Paper and questions</w:t>
            </w:r>
          </w:p>
        </w:tc>
        <w:tc>
          <w:tcPr>
            <w:tcW w:w="4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D1" w:rsidRDefault="00824FD1" w:rsidP="00E55EB1">
            <w:pPr>
              <w:spacing w:line="192" w:lineRule="auto"/>
              <w:ind w:right="-291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824FD1" w:rsidRDefault="00824FD1" w:rsidP="00E55EB1">
            <w:pPr>
              <w:spacing w:line="192" w:lineRule="auto"/>
              <w:ind w:right="-291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Camilla SEBASTIANI, AGCOM</w:t>
            </w:r>
          </w:p>
          <w:p w:rsidR="00824FD1" w:rsidRPr="003D1BE5" w:rsidRDefault="00824FD1" w:rsidP="00E55EB1">
            <w:pPr>
              <w:spacing w:line="192" w:lineRule="auto"/>
              <w:ind w:right="-291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Co-chair of ERGP </w:t>
            </w:r>
            <w:r w:rsidRPr="003D4F4B">
              <w:rPr>
                <w:rFonts w:ascii="Arial" w:hAnsi="Arial" w:cs="Arial"/>
                <w:i/>
                <w:sz w:val="18"/>
                <w:szCs w:val="18"/>
                <w:lang w:val="en-GB"/>
              </w:rPr>
              <w:t>“Subgroup on net costs of USO and VAT exemption”</w:t>
            </w:r>
          </w:p>
        </w:tc>
      </w:tr>
      <w:tr w:rsidR="00824FD1" w:rsidRPr="003D1BE5" w:rsidTr="00E55EB1">
        <w:trPr>
          <w:jc w:val="center"/>
        </w:trPr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D1" w:rsidRPr="003D1BE5" w:rsidRDefault="00824FD1" w:rsidP="00E55EB1">
            <w:pPr>
              <w:spacing w:line="192" w:lineRule="auto"/>
              <w:ind w:right="-291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D1BE5"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  <w:r w:rsidRPr="003D1BE5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4</w:t>
            </w:r>
            <w:r w:rsidRPr="003D1BE5">
              <w:rPr>
                <w:rFonts w:ascii="Arial" w:hAnsi="Arial" w:cs="Arial"/>
                <w:sz w:val="18"/>
                <w:szCs w:val="18"/>
                <w:lang w:val="en-GB"/>
              </w:rPr>
              <w:t>5 – 1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5</w:t>
            </w:r>
            <w:r w:rsidRPr="003D1BE5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00</w:t>
            </w:r>
          </w:p>
        </w:tc>
        <w:tc>
          <w:tcPr>
            <w:tcW w:w="4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D1" w:rsidRDefault="00824FD1" w:rsidP="00E55EB1">
            <w:pPr>
              <w:spacing w:line="192" w:lineRule="auto"/>
              <w:ind w:right="-291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824FD1" w:rsidRDefault="00824FD1" w:rsidP="00E55EB1">
            <w:pPr>
              <w:spacing w:line="192" w:lineRule="auto"/>
              <w:ind w:right="-291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Stakeholder Dialogue</w:t>
            </w:r>
          </w:p>
          <w:p w:rsidR="00824FD1" w:rsidRPr="003D1BE5" w:rsidRDefault="00824FD1" w:rsidP="00E55EB1">
            <w:pPr>
              <w:spacing w:line="192" w:lineRule="auto"/>
              <w:ind w:right="-291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D1" w:rsidRPr="003D1BE5" w:rsidRDefault="00824FD1" w:rsidP="00E55EB1">
            <w:pPr>
              <w:spacing w:line="192" w:lineRule="auto"/>
              <w:ind w:right="-291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Moderator: Jack HAMANDE, BIPT, ERGP 2014 Vice Chair</w:t>
            </w:r>
          </w:p>
        </w:tc>
      </w:tr>
      <w:tr w:rsidR="00824FD1" w:rsidRPr="003D1BE5" w:rsidTr="00E55EB1">
        <w:trPr>
          <w:trHeight w:val="260"/>
          <w:jc w:val="center"/>
        </w:trPr>
        <w:tc>
          <w:tcPr>
            <w:tcW w:w="149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D1" w:rsidRPr="003D1BE5" w:rsidRDefault="00824FD1" w:rsidP="00E55EB1">
            <w:pPr>
              <w:spacing w:line="192" w:lineRule="auto"/>
              <w:ind w:right="-291"/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</w:pPr>
            <w:r w:rsidRPr="003D1BE5"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5</w:t>
            </w:r>
            <w:r w:rsidRPr="003D1BE5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00</w:t>
            </w:r>
            <w:r w:rsidRPr="003D1BE5">
              <w:rPr>
                <w:rFonts w:ascii="Arial" w:hAnsi="Arial" w:cs="Arial"/>
                <w:sz w:val="18"/>
                <w:szCs w:val="18"/>
                <w:lang w:val="en-GB"/>
              </w:rPr>
              <w:t xml:space="preserve"> – 1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5</w:t>
            </w:r>
            <w:r w:rsidRPr="003D1BE5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15</w:t>
            </w:r>
          </w:p>
        </w:tc>
        <w:tc>
          <w:tcPr>
            <w:tcW w:w="9845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D1" w:rsidRPr="003D1BE5" w:rsidRDefault="00824FD1" w:rsidP="00E55EB1">
            <w:pPr>
              <w:spacing w:line="192" w:lineRule="auto"/>
              <w:ind w:right="-291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D1BE5">
              <w:rPr>
                <w:rFonts w:ascii="Arial" w:hAnsi="Arial" w:cs="Arial"/>
                <w:sz w:val="18"/>
                <w:szCs w:val="18"/>
                <w:lang w:val="en-GB"/>
              </w:rPr>
              <w:t>Coffee break</w:t>
            </w:r>
          </w:p>
        </w:tc>
      </w:tr>
      <w:tr w:rsidR="00824FD1" w:rsidRPr="003D1BE5" w:rsidTr="00E55EB1">
        <w:trPr>
          <w:jc w:val="center"/>
        </w:trPr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D1" w:rsidRPr="003D1BE5" w:rsidRDefault="00824FD1" w:rsidP="00E55EB1">
            <w:pPr>
              <w:spacing w:line="192" w:lineRule="auto"/>
              <w:ind w:right="-291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D1BE5"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5</w:t>
            </w:r>
            <w:r w:rsidRPr="003D1BE5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  <w:r w:rsidRPr="003D1BE5">
              <w:rPr>
                <w:rFonts w:ascii="Arial" w:hAnsi="Arial" w:cs="Arial"/>
                <w:sz w:val="18"/>
                <w:szCs w:val="18"/>
                <w:lang w:val="en-GB"/>
              </w:rPr>
              <w:t>5 – 1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6</w:t>
            </w:r>
            <w:r w:rsidRPr="003D1BE5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30</w:t>
            </w:r>
          </w:p>
        </w:tc>
        <w:tc>
          <w:tcPr>
            <w:tcW w:w="4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D1" w:rsidRDefault="00824FD1" w:rsidP="00E55EB1">
            <w:pPr>
              <w:spacing w:line="192" w:lineRule="auto"/>
              <w:ind w:right="-291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824FD1" w:rsidRDefault="00824FD1" w:rsidP="00E55EB1">
            <w:pPr>
              <w:spacing w:line="192" w:lineRule="auto"/>
              <w:ind w:right="-291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Stakeholder Dialogue</w:t>
            </w:r>
          </w:p>
          <w:p w:rsidR="00824FD1" w:rsidRPr="003D1BE5" w:rsidRDefault="00824FD1" w:rsidP="00E55EB1">
            <w:pPr>
              <w:spacing w:line="192" w:lineRule="auto"/>
              <w:ind w:right="-291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D1" w:rsidRPr="003D1BE5" w:rsidRDefault="00824FD1" w:rsidP="00E55EB1">
            <w:pPr>
              <w:spacing w:line="192" w:lineRule="auto"/>
              <w:ind w:right="-291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Moderator: Jack HAMANDE, BIPT, ERGP Vice Chair</w:t>
            </w:r>
          </w:p>
        </w:tc>
      </w:tr>
      <w:tr w:rsidR="00824FD1" w:rsidRPr="003D1BE5" w:rsidTr="00E55EB1">
        <w:trPr>
          <w:trHeight w:val="260"/>
          <w:jc w:val="center"/>
        </w:trPr>
        <w:tc>
          <w:tcPr>
            <w:tcW w:w="149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D1" w:rsidRPr="003D1BE5" w:rsidRDefault="00824FD1" w:rsidP="00E55EB1">
            <w:pPr>
              <w:spacing w:line="192" w:lineRule="auto"/>
              <w:ind w:right="-291"/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</w:pPr>
            <w:r w:rsidRPr="003D1BE5"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6</w:t>
            </w:r>
            <w:r w:rsidRPr="003D1BE5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30</w:t>
            </w:r>
            <w:r w:rsidRPr="003D1BE5">
              <w:rPr>
                <w:rFonts w:ascii="Arial" w:hAnsi="Arial" w:cs="Arial"/>
                <w:sz w:val="18"/>
                <w:szCs w:val="18"/>
                <w:lang w:val="en-GB"/>
              </w:rPr>
              <w:t xml:space="preserve"> – 1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6</w:t>
            </w:r>
            <w:r w:rsidRPr="003D1BE5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45</w:t>
            </w:r>
          </w:p>
        </w:tc>
        <w:tc>
          <w:tcPr>
            <w:tcW w:w="9845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D1" w:rsidRPr="003D1BE5" w:rsidRDefault="00824FD1" w:rsidP="00E55EB1">
            <w:pPr>
              <w:spacing w:line="192" w:lineRule="auto"/>
              <w:ind w:right="-291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D1BE5">
              <w:rPr>
                <w:rFonts w:ascii="Arial" w:hAnsi="Arial" w:cs="Arial"/>
                <w:sz w:val="18"/>
                <w:szCs w:val="18"/>
                <w:lang w:val="en-GB"/>
              </w:rPr>
              <w:t>Coffee break</w:t>
            </w:r>
          </w:p>
        </w:tc>
      </w:tr>
      <w:tr w:rsidR="00824FD1" w:rsidRPr="003D1BE5" w:rsidTr="00E55EB1">
        <w:trPr>
          <w:jc w:val="center"/>
        </w:trPr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D1" w:rsidRPr="003D1BE5" w:rsidRDefault="00824FD1" w:rsidP="00E55EB1">
            <w:pPr>
              <w:spacing w:line="192" w:lineRule="auto"/>
              <w:ind w:right="-291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16:45-17.00</w:t>
            </w:r>
          </w:p>
        </w:tc>
        <w:tc>
          <w:tcPr>
            <w:tcW w:w="4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D1" w:rsidRDefault="00824FD1" w:rsidP="00E55EB1">
            <w:pPr>
              <w:spacing w:line="192" w:lineRule="auto"/>
              <w:ind w:right="-291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824FD1" w:rsidRPr="003D1BE5" w:rsidRDefault="00824FD1" w:rsidP="00E55EB1">
            <w:pPr>
              <w:spacing w:line="192" w:lineRule="auto"/>
              <w:ind w:right="-291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Rapporteur 1</w:t>
            </w:r>
            <w:r w:rsidRPr="003D1BE5">
              <w:rPr>
                <w:rFonts w:ascii="Arial" w:hAnsi="Arial" w:cs="Arial"/>
                <w:sz w:val="18"/>
                <w:szCs w:val="18"/>
                <w:lang w:val="en-GB"/>
              </w:rPr>
              <w:t xml:space="preserve"> will present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the major stakeholder inputs from Section 1</w:t>
            </w:r>
          </w:p>
          <w:p w:rsidR="00824FD1" w:rsidRPr="003D1BE5" w:rsidRDefault="00824FD1" w:rsidP="00E55EB1">
            <w:pPr>
              <w:spacing w:line="192" w:lineRule="auto"/>
              <w:ind w:right="-291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D1" w:rsidRPr="003D1BE5" w:rsidRDefault="00824FD1" w:rsidP="00E55EB1">
            <w:pPr>
              <w:spacing w:line="192" w:lineRule="auto"/>
              <w:ind w:right="-291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Rapporteur 1: Camilla SEBASTIANI, AGCOM, Co-chair of ERGP </w:t>
            </w:r>
            <w:r w:rsidRPr="003D4F4B">
              <w:rPr>
                <w:rFonts w:ascii="Arial" w:hAnsi="Arial" w:cs="Arial"/>
                <w:i/>
                <w:sz w:val="18"/>
                <w:szCs w:val="18"/>
                <w:lang w:val="en-GB"/>
              </w:rPr>
              <w:t>“Subgroup on net costs of USO and VAT exemption”</w:t>
            </w:r>
          </w:p>
        </w:tc>
      </w:tr>
      <w:tr w:rsidR="00824FD1" w:rsidRPr="003D1BE5" w:rsidTr="00E55EB1">
        <w:trPr>
          <w:jc w:val="center"/>
        </w:trPr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D1" w:rsidRPr="003D1BE5" w:rsidRDefault="00824FD1" w:rsidP="00E55EB1">
            <w:pPr>
              <w:spacing w:line="192" w:lineRule="auto"/>
              <w:ind w:right="-291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17:00-17.15</w:t>
            </w:r>
          </w:p>
        </w:tc>
        <w:tc>
          <w:tcPr>
            <w:tcW w:w="4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D1" w:rsidRDefault="00824FD1" w:rsidP="00E55EB1">
            <w:pPr>
              <w:spacing w:line="192" w:lineRule="auto"/>
              <w:ind w:right="-291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824FD1" w:rsidRPr="003D1BE5" w:rsidRDefault="00824FD1" w:rsidP="00E55EB1">
            <w:pPr>
              <w:spacing w:line="192" w:lineRule="auto"/>
              <w:ind w:right="-291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Rapporteur 2</w:t>
            </w:r>
            <w:r w:rsidRPr="003D1BE5">
              <w:rPr>
                <w:rFonts w:ascii="Arial" w:hAnsi="Arial" w:cs="Arial"/>
                <w:sz w:val="18"/>
                <w:szCs w:val="18"/>
                <w:lang w:val="en-GB"/>
              </w:rPr>
              <w:t xml:space="preserve"> will present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the major stakeholder inputs from Section 2</w:t>
            </w:r>
          </w:p>
          <w:p w:rsidR="00824FD1" w:rsidRPr="003D1BE5" w:rsidRDefault="00824FD1" w:rsidP="00E55EB1">
            <w:pPr>
              <w:spacing w:line="192" w:lineRule="auto"/>
              <w:ind w:right="-291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D1" w:rsidRDefault="00824FD1" w:rsidP="00E55EB1">
            <w:pPr>
              <w:spacing w:line="192" w:lineRule="auto"/>
              <w:ind w:right="-291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Rapporteur 2: Lars FORSLUND, PTS, Co-chair of</w:t>
            </w:r>
          </w:p>
          <w:p w:rsidR="00824FD1" w:rsidRPr="00984083" w:rsidRDefault="00824FD1" w:rsidP="00E55EB1">
            <w:pPr>
              <w:spacing w:line="192" w:lineRule="auto"/>
              <w:ind w:right="-291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ERGP </w:t>
            </w:r>
            <w:r w:rsidRPr="00984083">
              <w:rPr>
                <w:rFonts w:ascii="Arial" w:hAnsi="Arial" w:cs="Arial"/>
                <w:i/>
                <w:sz w:val="18"/>
                <w:szCs w:val="18"/>
                <w:lang w:val="en-GB"/>
              </w:rPr>
              <w:t>“Subgroup on net costs of USO and VAT exemption”</w:t>
            </w:r>
          </w:p>
        </w:tc>
      </w:tr>
      <w:tr w:rsidR="00824FD1" w:rsidRPr="003D1BE5" w:rsidTr="00E55EB1">
        <w:trPr>
          <w:trHeight w:val="567"/>
          <w:jc w:val="center"/>
        </w:trPr>
        <w:tc>
          <w:tcPr>
            <w:tcW w:w="14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D1" w:rsidRPr="003D1BE5" w:rsidRDefault="00824FD1" w:rsidP="00E55EB1">
            <w:pPr>
              <w:spacing w:line="192" w:lineRule="auto"/>
              <w:ind w:right="-291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17</w:t>
            </w:r>
            <w:r w:rsidRPr="003D1BE5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15</w:t>
            </w:r>
            <w:r w:rsidRPr="003D1BE5">
              <w:rPr>
                <w:rFonts w:ascii="Arial" w:hAnsi="Arial" w:cs="Arial"/>
                <w:sz w:val="18"/>
                <w:szCs w:val="18"/>
                <w:lang w:val="en-GB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17</w:t>
            </w:r>
            <w:r w:rsidRPr="003D1BE5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30</w:t>
            </w:r>
          </w:p>
        </w:tc>
        <w:tc>
          <w:tcPr>
            <w:tcW w:w="48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D1" w:rsidRPr="003D1BE5" w:rsidRDefault="00824FD1" w:rsidP="00E55EB1">
            <w:pPr>
              <w:spacing w:line="192" w:lineRule="auto"/>
              <w:ind w:right="-291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D1BE5">
              <w:rPr>
                <w:rFonts w:ascii="Arial" w:hAnsi="Arial" w:cs="Arial"/>
                <w:sz w:val="18"/>
                <w:szCs w:val="18"/>
                <w:lang w:val="en-GB"/>
              </w:rPr>
              <w:t>Conclusions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and closing</w:t>
            </w:r>
          </w:p>
        </w:tc>
        <w:tc>
          <w:tcPr>
            <w:tcW w:w="4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FD1" w:rsidRPr="003D1BE5" w:rsidRDefault="00824FD1" w:rsidP="00E55EB1">
            <w:pPr>
              <w:spacing w:line="192" w:lineRule="auto"/>
              <w:ind w:right="-291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3D1BE5">
              <w:rPr>
                <w:rFonts w:ascii="Arial" w:hAnsi="Arial" w:cs="Arial"/>
                <w:sz w:val="18"/>
                <w:szCs w:val="18"/>
                <w:lang w:val="en-GB"/>
              </w:rPr>
              <w:t>Cătălin</w:t>
            </w:r>
            <w:proofErr w:type="spellEnd"/>
            <w:r w:rsidRPr="003D1BE5">
              <w:rPr>
                <w:rFonts w:ascii="Arial" w:hAnsi="Arial" w:cs="Arial"/>
                <w:sz w:val="18"/>
                <w:szCs w:val="18"/>
                <w:lang w:val="en-GB"/>
              </w:rPr>
              <w:t xml:space="preserve"> MARINESCU</w:t>
            </w:r>
          </w:p>
          <w:p w:rsidR="00824FD1" w:rsidRPr="003D1BE5" w:rsidRDefault="00824FD1" w:rsidP="00E55EB1">
            <w:pPr>
              <w:spacing w:line="192" w:lineRule="auto"/>
              <w:ind w:right="-291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D1BE5">
              <w:rPr>
                <w:rFonts w:ascii="Arial" w:hAnsi="Arial" w:cs="Arial"/>
                <w:sz w:val="18"/>
                <w:szCs w:val="18"/>
                <w:lang w:val="en-GB"/>
              </w:rPr>
              <w:t>(ERGP 2014 Chair)</w:t>
            </w:r>
          </w:p>
        </w:tc>
      </w:tr>
    </w:tbl>
    <w:p w:rsidR="00824FD1" w:rsidRDefault="00824FD1"/>
    <w:p w:rsidR="00293457" w:rsidRPr="009963A2" w:rsidRDefault="00293457" w:rsidP="009963A2"/>
    <w:sectPr w:rsidR="00293457" w:rsidRPr="009963A2" w:rsidSect="00FB4AA2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EFF"/>
    <w:rsid w:val="00293457"/>
    <w:rsid w:val="003D4F4B"/>
    <w:rsid w:val="003E6B45"/>
    <w:rsid w:val="00532AD8"/>
    <w:rsid w:val="00787BBB"/>
    <w:rsid w:val="00805784"/>
    <w:rsid w:val="00824FD1"/>
    <w:rsid w:val="00875814"/>
    <w:rsid w:val="008871E8"/>
    <w:rsid w:val="00984083"/>
    <w:rsid w:val="009963A2"/>
    <w:rsid w:val="009B3462"/>
    <w:rsid w:val="00B32817"/>
    <w:rsid w:val="00BF0EFF"/>
    <w:rsid w:val="00EF6004"/>
    <w:rsid w:val="00FB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F3874-63D6-4EDC-9388-DCE28122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Moraru</dc:creator>
  <cp:keywords/>
  <dc:description/>
  <cp:lastModifiedBy>Anca Calin</cp:lastModifiedBy>
  <cp:revision>2</cp:revision>
  <dcterms:created xsi:type="dcterms:W3CDTF">2014-09-26T10:19:00Z</dcterms:created>
  <dcterms:modified xsi:type="dcterms:W3CDTF">2014-09-26T10:19:00Z</dcterms:modified>
</cp:coreProperties>
</file>